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908"/>
        <w:gridCol w:w="5220"/>
      </w:tblGrid>
      <w:tr w:rsidR="009C0859" w:rsidTr="0063619F">
        <w:trPr>
          <w:trHeight w:val="1395"/>
        </w:trPr>
        <w:tc>
          <w:tcPr>
            <w:tcW w:w="1908" w:type="dxa"/>
            <w:shd w:val="clear" w:color="auto" w:fill="auto"/>
          </w:tcPr>
          <w:p w:rsidR="009C0859" w:rsidRDefault="009C0859" w:rsidP="0063619F">
            <w:pPr>
              <w:snapToGrid w:val="0"/>
              <w:rPr>
                <w:rFonts w:ascii="Arial" w:hAnsi="Arial" w:cs="Arial"/>
                <w:sz w:val="8"/>
                <w:szCs w:val="8"/>
              </w:rPr>
            </w:pPr>
          </w:p>
          <w:p w:rsidR="009C0859" w:rsidRDefault="009C0859" w:rsidP="0063619F">
            <w:pPr>
              <w:rPr>
                <w:rFonts w:ascii="Arial" w:hAnsi="Arial" w:cs="Arial"/>
                <w:sz w:val="66"/>
                <w:szCs w:val="66"/>
              </w:rPr>
            </w:pPr>
            <w:r>
              <w:rPr>
                <w:rFonts w:ascii="Arial" w:hAnsi="Arial" w:cs="Arial"/>
                <w:sz w:val="66"/>
                <w:szCs w:val="66"/>
              </w:rPr>
              <w:t xml:space="preserve">  The</w:t>
            </w:r>
          </w:p>
        </w:tc>
        <w:tc>
          <w:tcPr>
            <w:tcW w:w="5220" w:type="dxa"/>
            <w:vMerge w:val="restart"/>
            <w:shd w:val="clear" w:color="auto" w:fill="auto"/>
          </w:tcPr>
          <w:p w:rsidR="009C0859" w:rsidRDefault="009C0859" w:rsidP="0063619F">
            <w:pPr>
              <w:snapToGrid w:val="0"/>
              <w:rPr>
                <w:rFonts w:ascii="Arial" w:hAnsi="Arial" w:cs="Arial"/>
                <w:sz w:val="64"/>
                <w:szCs w:val="64"/>
              </w:rPr>
            </w:pPr>
            <w:r>
              <w:rPr>
                <w:rFonts w:ascii="Arial Black" w:hAnsi="Arial Black"/>
                <w:sz w:val="64"/>
                <w:szCs w:val="64"/>
              </w:rPr>
              <w:t xml:space="preserve">JOURNAL </w:t>
            </w:r>
            <w:r>
              <w:rPr>
                <w:rFonts w:ascii="Arial" w:hAnsi="Arial" w:cs="Arial"/>
                <w:sz w:val="64"/>
                <w:szCs w:val="64"/>
              </w:rPr>
              <w:t>for</w:t>
            </w:r>
          </w:p>
          <w:p w:rsidR="009C0859" w:rsidRDefault="009C0859" w:rsidP="0063619F">
            <w:pPr>
              <w:rPr>
                <w:rFonts w:ascii="Arial" w:hAnsi="Arial" w:cs="Arial"/>
                <w:sz w:val="64"/>
                <w:szCs w:val="64"/>
              </w:rPr>
            </w:pPr>
            <w:r>
              <w:rPr>
                <w:rFonts w:ascii="Arial Black" w:hAnsi="Arial Black"/>
                <w:sz w:val="64"/>
                <w:szCs w:val="64"/>
              </w:rPr>
              <w:t xml:space="preserve">DRAMA </w:t>
            </w:r>
            <w:r>
              <w:rPr>
                <w:rFonts w:ascii="Arial" w:hAnsi="Arial" w:cs="Arial"/>
                <w:sz w:val="64"/>
                <w:szCs w:val="64"/>
              </w:rPr>
              <w:t>in</w:t>
            </w:r>
          </w:p>
          <w:p w:rsidR="009C0859" w:rsidRDefault="009C0859" w:rsidP="0063619F">
            <w:pPr>
              <w:rPr>
                <w:rFonts w:ascii="Arial Black" w:hAnsi="Arial Black"/>
                <w:sz w:val="64"/>
                <w:szCs w:val="64"/>
              </w:rPr>
            </w:pPr>
            <w:r>
              <w:rPr>
                <w:rFonts w:ascii="Arial Black" w:hAnsi="Arial Black"/>
                <w:sz w:val="64"/>
                <w:szCs w:val="64"/>
              </w:rPr>
              <w:t>EDUCATION</w:t>
            </w:r>
          </w:p>
        </w:tc>
      </w:tr>
      <w:tr w:rsidR="009C0859" w:rsidTr="0063619F">
        <w:trPr>
          <w:trHeight w:val="1395"/>
        </w:trPr>
        <w:tc>
          <w:tcPr>
            <w:tcW w:w="1908" w:type="dxa"/>
            <w:shd w:val="clear" w:color="auto" w:fill="auto"/>
          </w:tcPr>
          <w:p w:rsidR="009C0859" w:rsidRDefault="009C0859" w:rsidP="0063619F">
            <w:pPr>
              <w:snapToGrid w:val="0"/>
              <w:rPr>
                <w:spacing w:val="2"/>
                <w:sz w:val="16"/>
                <w:szCs w:val="16"/>
                <w:lang w:val="en-US"/>
              </w:rPr>
            </w:pPr>
          </w:p>
          <w:p w:rsidR="009C0859" w:rsidRDefault="009C0859" w:rsidP="0063619F">
            <w:pPr>
              <w:rPr>
                <w:spacing w:val="2"/>
                <w:sz w:val="16"/>
                <w:szCs w:val="16"/>
                <w:lang w:val="en-US"/>
              </w:rPr>
            </w:pPr>
          </w:p>
          <w:p w:rsidR="009C0859" w:rsidRDefault="009C0859" w:rsidP="0063619F">
            <w:pPr>
              <w:rPr>
                <w:spacing w:val="2"/>
                <w:sz w:val="16"/>
                <w:szCs w:val="16"/>
                <w:lang w:val="en-US"/>
              </w:rPr>
            </w:pPr>
            <w:r>
              <w:rPr>
                <w:spacing w:val="2"/>
                <w:sz w:val="16"/>
                <w:szCs w:val="16"/>
                <w:lang w:val="en-US"/>
              </w:rPr>
              <w:t>Volume 35, Issue 2</w:t>
            </w:r>
          </w:p>
          <w:p w:rsidR="009C0859" w:rsidRDefault="009C0859" w:rsidP="0063619F">
            <w:pPr>
              <w:rPr>
                <w:spacing w:val="2"/>
                <w:sz w:val="16"/>
                <w:szCs w:val="16"/>
                <w:lang w:val="en-US"/>
              </w:rPr>
            </w:pPr>
            <w:r>
              <w:rPr>
                <w:spacing w:val="2"/>
                <w:sz w:val="16"/>
                <w:szCs w:val="16"/>
                <w:lang w:val="en-US"/>
              </w:rPr>
              <w:t>Autumn 2021</w:t>
            </w:r>
          </w:p>
          <w:p w:rsidR="009C0859" w:rsidRDefault="009C0859" w:rsidP="0063619F">
            <w:pPr>
              <w:rPr>
                <w:spacing w:val="2"/>
                <w:sz w:val="16"/>
                <w:szCs w:val="16"/>
                <w:lang w:val="en-US"/>
              </w:rPr>
            </w:pPr>
            <w:r>
              <w:rPr>
                <w:spacing w:val="2"/>
                <w:sz w:val="16"/>
                <w:szCs w:val="16"/>
                <w:lang w:val="en-US"/>
              </w:rPr>
              <w:t>ISSN 1476 – 9395</w:t>
            </w:r>
          </w:p>
        </w:tc>
        <w:tc>
          <w:tcPr>
            <w:tcW w:w="5220" w:type="dxa"/>
            <w:vMerge/>
            <w:shd w:val="clear" w:color="auto" w:fill="auto"/>
          </w:tcPr>
          <w:p w:rsidR="009C0859" w:rsidRDefault="009C0859" w:rsidP="0063619F">
            <w:pPr>
              <w:snapToGrid w:val="0"/>
              <w:rPr>
                <w:rFonts w:ascii="Arial Black" w:hAnsi="Arial Black"/>
                <w:sz w:val="66"/>
                <w:szCs w:val="66"/>
              </w:rPr>
            </w:pPr>
          </w:p>
        </w:tc>
      </w:tr>
    </w:tbl>
    <w:p w:rsidR="009C0859" w:rsidRPr="009C668F" w:rsidRDefault="009C0859" w:rsidP="009C0859">
      <w:pPr>
        <w:contextualSpacing/>
        <w:jc w:val="center"/>
        <w:rPr>
          <w:rFonts w:ascii="Arial Black" w:hAnsi="Arial Black" w:cs="Times New Roman"/>
          <w:sz w:val="20"/>
          <w:szCs w:val="20"/>
        </w:rPr>
      </w:pPr>
      <w:r w:rsidRPr="009C668F">
        <w:rPr>
          <w:rFonts w:ascii="Arial Black" w:hAnsi="Arial Black" w:cs="Times New Roman"/>
          <w:sz w:val="20"/>
          <w:szCs w:val="20"/>
        </w:rPr>
        <w:t>Special Issue to accompany the International Conference</w:t>
      </w:r>
      <w:r>
        <w:rPr>
          <w:rFonts w:ascii="Arial Black" w:hAnsi="Arial Black" w:cs="Times New Roman"/>
          <w:sz w:val="20"/>
          <w:szCs w:val="20"/>
        </w:rPr>
        <w:t>:</w:t>
      </w:r>
    </w:p>
    <w:p w:rsidR="009C0859" w:rsidRPr="009C668F" w:rsidRDefault="009C0859" w:rsidP="009C0859">
      <w:pPr>
        <w:contextualSpacing/>
        <w:jc w:val="center"/>
        <w:rPr>
          <w:rFonts w:ascii="Arial Black" w:hAnsi="Arial Black" w:cs="Times New Roman"/>
          <w:sz w:val="20"/>
          <w:szCs w:val="20"/>
        </w:rPr>
      </w:pPr>
      <w:r w:rsidRPr="0063619F">
        <w:rPr>
          <w:rFonts w:ascii="Arial Black" w:hAnsi="Arial Black" w:cs="Times New Roman"/>
          <w:i/>
          <w:iCs/>
          <w:sz w:val="20"/>
          <w:szCs w:val="20"/>
        </w:rPr>
        <w:t>Dorothy Heathcote Now</w:t>
      </w:r>
      <w:r w:rsidRPr="009C668F">
        <w:rPr>
          <w:rFonts w:ascii="Arial Black" w:hAnsi="Arial Black" w:cs="Times New Roman"/>
          <w:sz w:val="20"/>
          <w:szCs w:val="20"/>
        </w:rPr>
        <w:t>, 8</w:t>
      </w:r>
      <w:r w:rsidRPr="009C668F">
        <w:rPr>
          <w:rFonts w:ascii="Arial Black" w:hAnsi="Arial Black" w:cs="Times New Roman"/>
          <w:sz w:val="20"/>
          <w:szCs w:val="20"/>
          <w:vertAlign w:val="superscript"/>
        </w:rPr>
        <w:t>th</w:t>
      </w:r>
      <w:r w:rsidRPr="009C668F">
        <w:rPr>
          <w:rFonts w:ascii="Arial Black" w:hAnsi="Arial Black" w:cs="Times New Roman"/>
          <w:sz w:val="20"/>
          <w:szCs w:val="20"/>
        </w:rPr>
        <w:t xml:space="preserve"> – 10</w:t>
      </w:r>
      <w:r w:rsidRPr="009C668F">
        <w:rPr>
          <w:rFonts w:ascii="Arial Black" w:hAnsi="Arial Black" w:cs="Times New Roman"/>
          <w:sz w:val="20"/>
          <w:szCs w:val="20"/>
          <w:vertAlign w:val="superscript"/>
        </w:rPr>
        <w:t>th</w:t>
      </w:r>
      <w:r w:rsidRPr="009C668F">
        <w:rPr>
          <w:rFonts w:ascii="Arial Black" w:hAnsi="Arial Black" w:cs="Times New Roman"/>
          <w:sz w:val="20"/>
          <w:szCs w:val="20"/>
        </w:rPr>
        <w:t xml:space="preserve"> October 2021</w:t>
      </w:r>
    </w:p>
    <w:p w:rsidR="009C0859" w:rsidRPr="009C668F" w:rsidRDefault="009C0859" w:rsidP="009C0859">
      <w:pPr>
        <w:ind w:left="720"/>
        <w:contextualSpacing/>
        <w:rPr>
          <w:rFonts w:cs="Times New Roman"/>
          <w:i/>
          <w:sz w:val="18"/>
          <w:szCs w:val="18"/>
        </w:rPr>
      </w:pPr>
    </w:p>
    <w:p w:rsidR="009C0859" w:rsidRPr="009C668F" w:rsidRDefault="009C0859" w:rsidP="009C0859">
      <w:pPr>
        <w:numPr>
          <w:ilvl w:val="0"/>
          <w:numId w:val="1"/>
        </w:numPr>
        <w:contextualSpacing/>
        <w:rPr>
          <w:rFonts w:cs="Times New Roman"/>
          <w:i/>
          <w:sz w:val="16"/>
          <w:szCs w:val="16"/>
        </w:rPr>
      </w:pPr>
      <w:r w:rsidRPr="009C668F">
        <w:rPr>
          <w:rFonts w:cs="Times New Roman"/>
          <w:b/>
          <w:sz w:val="16"/>
          <w:szCs w:val="16"/>
        </w:rPr>
        <w:t>Editorial</w:t>
      </w:r>
    </w:p>
    <w:p w:rsidR="009C0859" w:rsidRPr="009C668F" w:rsidRDefault="009C0859" w:rsidP="009C0859">
      <w:pPr>
        <w:numPr>
          <w:ilvl w:val="0"/>
          <w:numId w:val="1"/>
        </w:numPr>
        <w:contextualSpacing/>
        <w:rPr>
          <w:rFonts w:cs="Times New Roman"/>
          <w:i/>
          <w:sz w:val="16"/>
          <w:szCs w:val="16"/>
        </w:rPr>
      </w:pPr>
      <w:r w:rsidRPr="009C668F">
        <w:rPr>
          <w:rFonts w:cs="Times New Roman"/>
          <w:b/>
          <w:sz w:val="16"/>
          <w:szCs w:val="16"/>
        </w:rPr>
        <w:t>Chair’s Report</w:t>
      </w:r>
    </w:p>
    <w:p w:rsidR="009C0859" w:rsidRPr="009C668F" w:rsidRDefault="009C0859" w:rsidP="009C0859">
      <w:pPr>
        <w:pStyle w:val="ListParagraph"/>
        <w:numPr>
          <w:ilvl w:val="0"/>
          <w:numId w:val="1"/>
        </w:numPr>
        <w:rPr>
          <w:rFonts w:cs="Times New Roman"/>
          <w:b/>
          <w:bCs/>
          <w:iCs/>
          <w:sz w:val="16"/>
          <w:szCs w:val="16"/>
        </w:rPr>
      </w:pPr>
      <w:r w:rsidRPr="009C668F">
        <w:rPr>
          <w:rFonts w:cs="Times New Roman"/>
          <w:b/>
          <w:bCs/>
          <w:iCs/>
          <w:sz w:val="16"/>
          <w:szCs w:val="16"/>
        </w:rPr>
        <w:t xml:space="preserve">Man in a mess: person in a paradox, person in a paradigm, </w:t>
      </w:r>
    </w:p>
    <w:p w:rsidR="009C0859" w:rsidRPr="009C668F" w:rsidRDefault="009C0859" w:rsidP="009C0859">
      <w:pPr>
        <w:pStyle w:val="ListParagraph"/>
        <w:rPr>
          <w:rFonts w:cs="Times New Roman"/>
          <w:b/>
          <w:bCs/>
          <w:iCs/>
          <w:sz w:val="16"/>
          <w:szCs w:val="16"/>
        </w:rPr>
      </w:pPr>
      <w:r w:rsidRPr="009C668F">
        <w:rPr>
          <w:rFonts w:cs="Times New Roman"/>
          <w:b/>
          <w:bCs/>
          <w:iCs/>
          <w:sz w:val="16"/>
          <w:szCs w:val="16"/>
        </w:rPr>
        <w:t>person with a problem, person in a pandemic…</w:t>
      </w:r>
    </w:p>
    <w:p w:rsidR="009C0859" w:rsidRPr="009C668F" w:rsidRDefault="009C0859" w:rsidP="009C0859">
      <w:pPr>
        <w:pStyle w:val="ListParagraph"/>
        <w:rPr>
          <w:rFonts w:cs="Times New Roman"/>
          <w:bCs/>
          <w:iCs/>
          <w:sz w:val="16"/>
          <w:szCs w:val="16"/>
        </w:rPr>
      </w:pPr>
      <w:r w:rsidRPr="009C668F">
        <w:rPr>
          <w:rFonts w:cs="Times New Roman"/>
          <w:bCs/>
          <w:iCs/>
          <w:sz w:val="16"/>
          <w:szCs w:val="16"/>
        </w:rPr>
        <w:t>Sorrel Oates</w:t>
      </w:r>
    </w:p>
    <w:p w:rsidR="009C0859" w:rsidRPr="009C668F" w:rsidRDefault="009C0859" w:rsidP="009C0859">
      <w:pPr>
        <w:pStyle w:val="ListParagraph"/>
        <w:numPr>
          <w:ilvl w:val="0"/>
          <w:numId w:val="1"/>
        </w:numPr>
        <w:rPr>
          <w:rFonts w:cs="Times New Roman"/>
          <w:b/>
          <w:sz w:val="16"/>
          <w:szCs w:val="16"/>
        </w:rPr>
      </w:pPr>
      <w:r w:rsidRPr="009C668F">
        <w:rPr>
          <w:rFonts w:cs="Times New Roman"/>
          <w:b/>
          <w:sz w:val="16"/>
          <w:szCs w:val="16"/>
        </w:rPr>
        <w:t>Shaving heads: Informing our total existence</w:t>
      </w:r>
    </w:p>
    <w:p w:rsidR="009C0859" w:rsidRPr="009C668F" w:rsidRDefault="009C0859" w:rsidP="009C0859">
      <w:pPr>
        <w:pStyle w:val="ListParagraph"/>
        <w:rPr>
          <w:rFonts w:cs="Times New Roman"/>
          <w:sz w:val="16"/>
          <w:szCs w:val="16"/>
        </w:rPr>
      </w:pPr>
      <w:r w:rsidRPr="009C668F">
        <w:rPr>
          <w:rFonts w:cs="Times New Roman"/>
          <w:sz w:val="16"/>
          <w:szCs w:val="16"/>
        </w:rPr>
        <w:t>Guy Williams</w:t>
      </w:r>
    </w:p>
    <w:p w:rsidR="009C0859" w:rsidRPr="009C668F" w:rsidRDefault="009C0859" w:rsidP="009C0859">
      <w:pPr>
        <w:pStyle w:val="ListParagraph"/>
        <w:numPr>
          <w:ilvl w:val="0"/>
          <w:numId w:val="1"/>
        </w:numPr>
        <w:rPr>
          <w:rFonts w:cs="Times New Roman"/>
          <w:b/>
          <w:sz w:val="16"/>
          <w:szCs w:val="16"/>
        </w:rPr>
      </w:pPr>
      <w:r w:rsidRPr="009C668F">
        <w:rPr>
          <w:rFonts w:cs="Times New Roman"/>
          <w:b/>
          <w:sz w:val="16"/>
          <w:szCs w:val="16"/>
        </w:rPr>
        <w:t>‘Why can’t every teacher use Mantle of the Expert?’</w:t>
      </w:r>
    </w:p>
    <w:p w:rsidR="009C0859" w:rsidRPr="009C668F" w:rsidRDefault="009C0859" w:rsidP="009C0859">
      <w:pPr>
        <w:pStyle w:val="ListParagraph"/>
        <w:rPr>
          <w:rFonts w:cs="Times New Roman"/>
          <w:sz w:val="16"/>
          <w:szCs w:val="16"/>
        </w:rPr>
      </w:pPr>
      <w:r w:rsidRPr="009C668F">
        <w:rPr>
          <w:rFonts w:cs="Times New Roman"/>
          <w:sz w:val="16"/>
          <w:szCs w:val="16"/>
        </w:rPr>
        <w:t>Renee Downey</w:t>
      </w:r>
    </w:p>
    <w:p w:rsidR="009C0859" w:rsidRPr="009C668F" w:rsidRDefault="009C0859" w:rsidP="009C0859">
      <w:pPr>
        <w:pStyle w:val="ListParagraph"/>
        <w:numPr>
          <w:ilvl w:val="0"/>
          <w:numId w:val="1"/>
        </w:numPr>
        <w:autoSpaceDN w:val="0"/>
        <w:adjustRightInd w:val="0"/>
        <w:spacing w:line="276" w:lineRule="auto"/>
        <w:rPr>
          <w:rFonts w:cs="Times New Roman"/>
          <w:b/>
          <w:bCs/>
          <w:sz w:val="16"/>
          <w:szCs w:val="16"/>
        </w:rPr>
      </w:pPr>
      <w:r w:rsidRPr="009C668F">
        <w:rPr>
          <w:rFonts w:cs="Times New Roman"/>
          <w:b/>
          <w:bCs/>
          <w:sz w:val="16"/>
          <w:szCs w:val="16"/>
        </w:rPr>
        <w:t xml:space="preserve">The Conventions </w:t>
      </w:r>
      <w:r>
        <w:rPr>
          <w:rFonts w:cs="Times New Roman"/>
          <w:b/>
          <w:bCs/>
          <w:sz w:val="16"/>
          <w:szCs w:val="16"/>
        </w:rPr>
        <w:t>o</w:t>
      </w:r>
      <w:r w:rsidRPr="009C668F">
        <w:rPr>
          <w:rFonts w:cs="Times New Roman"/>
          <w:b/>
          <w:bCs/>
          <w:sz w:val="16"/>
          <w:szCs w:val="16"/>
        </w:rPr>
        <w:t>f Dramatic Action: A Guide</w:t>
      </w:r>
    </w:p>
    <w:p w:rsidR="009C0859" w:rsidRPr="009C668F" w:rsidRDefault="009C0859" w:rsidP="009C0859">
      <w:pPr>
        <w:pStyle w:val="ListParagraph"/>
        <w:rPr>
          <w:rFonts w:cs="Times New Roman"/>
          <w:bCs/>
          <w:sz w:val="16"/>
          <w:szCs w:val="16"/>
        </w:rPr>
      </w:pPr>
      <w:r w:rsidRPr="009C668F">
        <w:rPr>
          <w:rFonts w:cs="Times New Roman"/>
          <w:bCs/>
          <w:sz w:val="16"/>
          <w:szCs w:val="16"/>
        </w:rPr>
        <w:t>Tim Taylor</w:t>
      </w:r>
      <w:r w:rsidRPr="009C668F">
        <w:rPr>
          <w:rFonts w:cs="Times New Roman"/>
          <w:bCs/>
          <w:sz w:val="16"/>
          <w:szCs w:val="16"/>
        </w:rPr>
        <w:br/>
        <w:t>Illustrated by Jim Kavanagh</w:t>
      </w:r>
    </w:p>
    <w:p w:rsidR="009C0859" w:rsidRPr="009C668F" w:rsidRDefault="009C0859" w:rsidP="009C0859">
      <w:pPr>
        <w:pStyle w:val="ListParagraph"/>
        <w:numPr>
          <w:ilvl w:val="0"/>
          <w:numId w:val="1"/>
        </w:numPr>
        <w:rPr>
          <w:rFonts w:cs="Times New Roman"/>
          <w:b/>
          <w:sz w:val="16"/>
          <w:szCs w:val="16"/>
        </w:rPr>
      </w:pPr>
      <w:r w:rsidRPr="009C668F">
        <w:rPr>
          <w:rFonts w:cs="Times New Roman"/>
          <w:b/>
          <w:sz w:val="16"/>
          <w:szCs w:val="16"/>
        </w:rPr>
        <w:t>Signalling Across Space and Time:</w:t>
      </w:r>
    </w:p>
    <w:p w:rsidR="009C0859" w:rsidRPr="009C668F" w:rsidRDefault="009C0859" w:rsidP="009C0859">
      <w:pPr>
        <w:pStyle w:val="ListParagraph"/>
        <w:rPr>
          <w:rFonts w:cs="Times New Roman"/>
          <w:b/>
          <w:sz w:val="16"/>
          <w:szCs w:val="16"/>
        </w:rPr>
      </w:pPr>
      <w:r w:rsidRPr="009C668F">
        <w:rPr>
          <w:rFonts w:cs="Times New Roman"/>
          <w:b/>
          <w:sz w:val="16"/>
          <w:szCs w:val="16"/>
        </w:rPr>
        <w:t>Conventions of Dramatic Action and the Teacher’s Interpretation</w:t>
      </w:r>
    </w:p>
    <w:p w:rsidR="009C0859" w:rsidRPr="009C668F" w:rsidRDefault="009C0859" w:rsidP="009C0859">
      <w:pPr>
        <w:pStyle w:val="ListParagraph"/>
        <w:rPr>
          <w:rFonts w:cs="Times New Roman"/>
          <w:sz w:val="16"/>
          <w:szCs w:val="16"/>
        </w:rPr>
      </w:pPr>
      <w:r w:rsidRPr="009C668F">
        <w:rPr>
          <w:rFonts w:cs="Times New Roman"/>
          <w:sz w:val="16"/>
          <w:szCs w:val="16"/>
        </w:rPr>
        <w:t>Maggie Hulson</w:t>
      </w:r>
    </w:p>
    <w:p w:rsidR="009C0859" w:rsidRPr="009C668F" w:rsidRDefault="009C0859" w:rsidP="009C0859">
      <w:pPr>
        <w:pStyle w:val="Title"/>
        <w:numPr>
          <w:ilvl w:val="0"/>
          <w:numId w:val="1"/>
        </w:numPr>
        <w:rPr>
          <w:rFonts w:ascii="Times New Roman" w:hAnsi="Times New Roman" w:cs="Times New Roman"/>
          <w:b/>
          <w:sz w:val="16"/>
          <w:szCs w:val="16"/>
        </w:rPr>
      </w:pPr>
      <w:r w:rsidRPr="009C668F">
        <w:rPr>
          <w:rFonts w:ascii="Times New Roman" w:hAnsi="Times New Roman" w:cs="Times New Roman"/>
          <w:b/>
          <w:sz w:val="16"/>
          <w:szCs w:val="16"/>
        </w:rPr>
        <w:t>Rolling</w:t>
      </w:r>
      <w:r w:rsidRPr="009C668F">
        <w:rPr>
          <w:rFonts w:ascii="Times New Roman" w:hAnsi="Times New Roman" w:cs="Times New Roman"/>
          <w:b/>
          <w:spacing w:val="5"/>
          <w:sz w:val="16"/>
          <w:szCs w:val="16"/>
        </w:rPr>
        <w:t xml:space="preserve"> </w:t>
      </w:r>
      <w:r w:rsidRPr="009C668F">
        <w:rPr>
          <w:rFonts w:ascii="Times New Roman" w:hAnsi="Times New Roman" w:cs="Times New Roman"/>
          <w:b/>
          <w:sz w:val="16"/>
          <w:szCs w:val="16"/>
        </w:rPr>
        <w:t>Role</w:t>
      </w:r>
      <w:r w:rsidRPr="009C668F">
        <w:rPr>
          <w:rFonts w:ascii="Times New Roman" w:hAnsi="Times New Roman" w:cs="Times New Roman"/>
          <w:b/>
          <w:spacing w:val="6"/>
          <w:sz w:val="16"/>
          <w:szCs w:val="16"/>
        </w:rPr>
        <w:t xml:space="preserve"> </w:t>
      </w:r>
      <w:r w:rsidRPr="009C668F">
        <w:rPr>
          <w:rFonts w:ascii="Times New Roman" w:hAnsi="Times New Roman" w:cs="Times New Roman"/>
          <w:b/>
          <w:sz w:val="16"/>
          <w:szCs w:val="16"/>
        </w:rPr>
        <w:t>-</w:t>
      </w:r>
      <w:r w:rsidRPr="009C668F">
        <w:rPr>
          <w:rFonts w:ascii="Times New Roman" w:hAnsi="Times New Roman" w:cs="Times New Roman"/>
          <w:b/>
          <w:spacing w:val="6"/>
          <w:sz w:val="16"/>
          <w:szCs w:val="16"/>
        </w:rPr>
        <w:t xml:space="preserve"> </w:t>
      </w:r>
      <w:r w:rsidRPr="009C668F">
        <w:rPr>
          <w:rFonts w:ascii="Times New Roman" w:hAnsi="Times New Roman" w:cs="Times New Roman"/>
          <w:b/>
          <w:sz w:val="16"/>
          <w:szCs w:val="16"/>
        </w:rPr>
        <w:t>a</w:t>
      </w:r>
      <w:r w:rsidRPr="009C668F">
        <w:rPr>
          <w:rFonts w:ascii="Times New Roman" w:hAnsi="Times New Roman" w:cs="Times New Roman"/>
          <w:b/>
          <w:spacing w:val="6"/>
          <w:sz w:val="16"/>
          <w:szCs w:val="16"/>
        </w:rPr>
        <w:t xml:space="preserve"> </w:t>
      </w:r>
      <w:r w:rsidRPr="009C668F">
        <w:rPr>
          <w:rFonts w:ascii="Times New Roman" w:hAnsi="Times New Roman" w:cs="Times New Roman"/>
          <w:b/>
          <w:sz w:val="16"/>
          <w:szCs w:val="16"/>
        </w:rPr>
        <w:t>perspective</w:t>
      </w:r>
    </w:p>
    <w:p w:rsidR="009C0859" w:rsidRPr="009C668F" w:rsidRDefault="009C0859" w:rsidP="009C0859">
      <w:pPr>
        <w:pStyle w:val="Title"/>
        <w:ind w:left="720"/>
        <w:rPr>
          <w:rFonts w:ascii="Times New Roman" w:hAnsi="Times New Roman" w:cs="Times New Roman"/>
          <w:sz w:val="16"/>
          <w:szCs w:val="16"/>
        </w:rPr>
      </w:pPr>
      <w:r w:rsidRPr="009C668F">
        <w:rPr>
          <w:rFonts w:ascii="Times New Roman" w:hAnsi="Times New Roman" w:cs="Times New Roman"/>
          <w:sz w:val="16"/>
          <w:szCs w:val="16"/>
        </w:rPr>
        <w:t>Claire Armstrong-Mills</w:t>
      </w:r>
    </w:p>
    <w:p w:rsidR="009C0859" w:rsidRPr="009C668F" w:rsidRDefault="009C0859" w:rsidP="009C0859">
      <w:pPr>
        <w:pStyle w:val="ListParagraph"/>
        <w:numPr>
          <w:ilvl w:val="0"/>
          <w:numId w:val="1"/>
        </w:numPr>
        <w:rPr>
          <w:rFonts w:cs="Times New Roman"/>
          <w:b/>
          <w:sz w:val="16"/>
          <w:szCs w:val="16"/>
        </w:rPr>
      </w:pPr>
      <w:r w:rsidRPr="009C668F">
        <w:rPr>
          <w:rFonts w:cs="Times New Roman"/>
          <w:b/>
          <w:sz w:val="16"/>
          <w:szCs w:val="16"/>
        </w:rPr>
        <w:t>The Commissioners</w:t>
      </w:r>
    </w:p>
    <w:p w:rsidR="009C0859" w:rsidRPr="009C668F" w:rsidRDefault="009C0859" w:rsidP="009C0859">
      <w:pPr>
        <w:pStyle w:val="ListParagraph"/>
        <w:rPr>
          <w:rFonts w:cs="Times New Roman"/>
          <w:sz w:val="16"/>
          <w:szCs w:val="16"/>
        </w:rPr>
      </w:pPr>
      <w:r w:rsidRPr="009C668F">
        <w:rPr>
          <w:rFonts w:cs="Times New Roman"/>
          <w:sz w:val="16"/>
          <w:szCs w:val="16"/>
        </w:rPr>
        <w:t>Lisa Hinton</w:t>
      </w:r>
    </w:p>
    <w:p w:rsidR="009C0859" w:rsidRPr="009C668F" w:rsidRDefault="009C0859" w:rsidP="009C0859">
      <w:pPr>
        <w:pStyle w:val="ListParagraph"/>
        <w:numPr>
          <w:ilvl w:val="0"/>
          <w:numId w:val="1"/>
        </w:numPr>
        <w:shd w:val="clear" w:color="auto" w:fill="FFFFFF"/>
        <w:rPr>
          <w:rFonts w:cs="Times New Roman"/>
          <w:b/>
          <w:bCs/>
          <w:color w:val="222222"/>
          <w:sz w:val="16"/>
          <w:szCs w:val="16"/>
          <w:lang w:eastAsia="en-GB"/>
        </w:rPr>
      </w:pPr>
      <w:r w:rsidRPr="009C668F">
        <w:rPr>
          <w:rFonts w:cs="Times New Roman"/>
          <w:b/>
          <w:bCs/>
          <w:color w:val="222222"/>
          <w:sz w:val="16"/>
          <w:szCs w:val="16"/>
          <w:lang w:eastAsia="en-GB"/>
        </w:rPr>
        <w:t>The Dorothy Heathcote Archive</w:t>
      </w:r>
    </w:p>
    <w:p w:rsidR="009C0859" w:rsidRPr="009C668F" w:rsidRDefault="009C0859" w:rsidP="009C0859">
      <w:pPr>
        <w:pStyle w:val="ListParagraph"/>
        <w:shd w:val="clear" w:color="auto" w:fill="FFFFFF"/>
        <w:rPr>
          <w:rFonts w:cs="Times New Roman"/>
          <w:color w:val="222222"/>
          <w:sz w:val="16"/>
          <w:szCs w:val="16"/>
          <w:lang w:eastAsia="en-GB"/>
        </w:rPr>
      </w:pPr>
      <w:r w:rsidRPr="009C668F">
        <w:rPr>
          <w:rFonts w:cs="Times New Roman"/>
          <w:color w:val="222222"/>
          <w:sz w:val="16"/>
          <w:szCs w:val="16"/>
          <w:lang w:eastAsia="en-GB"/>
        </w:rPr>
        <w:t>David Allen, Sandra Hesten and Stig A. Eriksson</w:t>
      </w:r>
    </w:p>
    <w:p w:rsidR="009C0859" w:rsidRPr="009C668F" w:rsidRDefault="009C0859" w:rsidP="009C0859">
      <w:pPr>
        <w:pStyle w:val="ListParagraph"/>
        <w:numPr>
          <w:ilvl w:val="0"/>
          <w:numId w:val="1"/>
        </w:numPr>
        <w:rPr>
          <w:rFonts w:cs="Times New Roman"/>
          <w:b/>
          <w:sz w:val="16"/>
          <w:szCs w:val="16"/>
        </w:rPr>
      </w:pPr>
      <w:r>
        <w:rPr>
          <w:rFonts w:cs="Times New Roman"/>
          <w:b/>
          <w:sz w:val="16"/>
          <w:szCs w:val="16"/>
        </w:rPr>
        <w:t xml:space="preserve">A </w:t>
      </w:r>
      <w:r w:rsidRPr="0063619F">
        <w:rPr>
          <w:rFonts w:eastAsia="Arial" w:cs="Times New Roman"/>
          <w:b/>
          <w:sz w:val="16"/>
          <w:szCs w:val="16"/>
          <w:lang w:val="en-US" w:eastAsia="en-US"/>
        </w:rPr>
        <w:t>précis</w:t>
      </w:r>
      <w:r w:rsidRPr="004D17DF">
        <w:rPr>
          <w:rFonts w:cs="Times New Roman"/>
          <w:b/>
          <w:sz w:val="16"/>
          <w:szCs w:val="16"/>
        </w:rPr>
        <w:t xml:space="preserve"> o</w:t>
      </w:r>
      <w:r>
        <w:rPr>
          <w:rFonts w:cs="Times New Roman"/>
          <w:b/>
          <w:sz w:val="16"/>
          <w:szCs w:val="16"/>
        </w:rPr>
        <w:t xml:space="preserve">f: </w:t>
      </w:r>
      <w:r w:rsidRPr="009C668F">
        <w:rPr>
          <w:rFonts w:cs="Times New Roman"/>
          <w:b/>
          <w:sz w:val="16"/>
          <w:szCs w:val="16"/>
        </w:rPr>
        <w:t>Contexts for Active Learning</w:t>
      </w:r>
      <w:r>
        <w:rPr>
          <w:rFonts w:cs="Times New Roman"/>
          <w:b/>
          <w:sz w:val="16"/>
          <w:szCs w:val="16"/>
        </w:rPr>
        <w:t>:</w:t>
      </w:r>
    </w:p>
    <w:p w:rsidR="009C0859" w:rsidRDefault="009C0859" w:rsidP="009C0859">
      <w:pPr>
        <w:pStyle w:val="BodyText"/>
        <w:ind w:left="720"/>
        <w:rPr>
          <w:rFonts w:ascii="Times New Roman" w:hAnsi="Times New Roman" w:cs="Times New Roman"/>
          <w:b/>
          <w:sz w:val="16"/>
          <w:szCs w:val="16"/>
        </w:rPr>
      </w:pPr>
      <w:r w:rsidRPr="009C668F">
        <w:rPr>
          <w:rFonts w:ascii="Times New Roman" w:hAnsi="Times New Roman" w:cs="Times New Roman"/>
          <w:b/>
          <w:sz w:val="16"/>
          <w:szCs w:val="16"/>
        </w:rPr>
        <w:t>Four models to forge links between schooling and society</w:t>
      </w:r>
    </w:p>
    <w:p w:rsidR="009C0859" w:rsidRPr="0063619F" w:rsidRDefault="009C0859" w:rsidP="009C0859">
      <w:pPr>
        <w:pStyle w:val="BodyText"/>
        <w:ind w:left="720"/>
        <w:rPr>
          <w:rFonts w:ascii="Times New Roman" w:hAnsi="Times New Roman" w:cs="Times New Roman"/>
          <w:sz w:val="16"/>
          <w:szCs w:val="16"/>
        </w:rPr>
      </w:pPr>
      <w:r w:rsidRPr="0063619F">
        <w:rPr>
          <w:rFonts w:ascii="Times New Roman" w:hAnsi="Times New Roman" w:cs="Times New Roman"/>
          <w:sz w:val="16"/>
          <w:szCs w:val="16"/>
        </w:rPr>
        <w:t>Dorothy Heathcote</w:t>
      </w:r>
    </w:p>
    <w:p w:rsidR="009C0859" w:rsidRPr="0063619F" w:rsidRDefault="009C0859" w:rsidP="009C0859">
      <w:pPr>
        <w:pStyle w:val="BodyText"/>
        <w:ind w:left="720"/>
        <w:rPr>
          <w:rFonts w:cs="Times New Roman"/>
          <w:sz w:val="16"/>
          <w:szCs w:val="16"/>
        </w:rPr>
      </w:pPr>
      <w:r w:rsidRPr="0063619F">
        <w:rPr>
          <w:rFonts w:ascii="Times New Roman" w:hAnsi="Times New Roman" w:cs="Times New Roman"/>
          <w:noProof/>
          <w:sz w:val="16"/>
          <w:szCs w:val="16"/>
          <w:lang w:val="en-GB" w:eastAsia="en-GB"/>
        </w:rPr>
        <mc:AlternateContent>
          <mc:Choice Requires="wps">
            <w:drawing>
              <wp:anchor distT="0" distB="0" distL="0" distR="114300" simplePos="0" relativeHeight="251659264" behindDoc="0" locked="0" layoutInCell="1" allowOverlap="1" wp14:anchorId="08BB67E3" wp14:editId="188D129C">
                <wp:simplePos x="0" y="0"/>
                <wp:positionH relativeFrom="margin">
                  <wp:posOffset>-20320</wp:posOffset>
                </wp:positionH>
                <wp:positionV relativeFrom="paragraph">
                  <wp:posOffset>197485</wp:posOffset>
                </wp:positionV>
                <wp:extent cx="4572000" cy="92265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22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361"/>
                              <w:gridCol w:w="2795"/>
                            </w:tblGrid>
                            <w:tr w:rsidR="009C0859">
                              <w:trPr>
                                <w:trHeight w:val="1358"/>
                              </w:trPr>
                              <w:tc>
                                <w:tcPr>
                                  <w:tcW w:w="4361" w:type="dxa"/>
                                  <w:shd w:val="clear" w:color="auto" w:fill="auto"/>
                                </w:tcPr>
                                <w:p w:rsidR="009C0859" w:rsidRPr="00F434D4" w:rsidRDefault="009C0859">
                                  <w:pPr>
                                    <w:snapToGrid w:val="0"/>
                                    <w:rPr>
                                      <w:rFonts w:ascii="Arial" w:hAnsi="Arial" w:cs="Arial"/>
                                      <w:b/>
                                      <w:bCs/>
                                      <w:sz w:val="8"/>
                                      <w:szCs w:val="8"/>
                                      <w:lang w:val="en-US"/>
                                    </w:rPr>
                                  </w:pPr>
                                </w:p>
                                <w:p w:rsidR="009C0859" w:rsidRDefault="009C0859">
                                  <w:pPr>
                                    <w:rPr>
                                      <w:rFonts w:ascii="Arial" w:hAnsi="Arial" w:cs="Arial"/>
                                      <w:b/>
                                      <w:bCs/>
                                      <w:sz w:val="32"/>
                                      <w:szCs w:val="32"/>
                                      <w:lang w:val="en-US"/>
                                    </w:rPr>
                                  </w:pPr>
                                </w:p>
                                <w:p w:rsidR="009C0859" w:rsidRDefault="009C0859">
                                  <w:pPr>
                                    <w:rPr>
                                      <w:rFonts w:ascii="Arial" w:hAnsi="Arial" w:cs="Arial"/>
                                      <w:b/>
                                      <w:bCs/>
                                      <w:sz w:val="32"/>
                                      <w:szCs w:val="32"/>
                                      <w:lang w:val="en-US"/>
                                    </w:rPr>
                                  </w:pPr>
                                </w:p>
                                <w:p w:rsidR="009C0859" w:rsidRPr="00F434D4" w:rsidRDefault="009C0859">
                                  <w:pPr>
                                    <w:tabs>
                                      <w:tab w:val="left" w:pos="985"/>
                                    </w:tabs>
                                    <w:spacing w:before="36"/>
                                    <w:rPr>
                                      <w:spacing w:val="12"/>
                                      <w:sz w:val="8"/>
                                      <w:szCs w:val="8"/>
                                      <w:lang w:val="en-US"/>
                                    </w:rPr>
                                  </w:pPr>
                                  <w:r>
                                    <w:rPr>
                                      <w:spacing w:val="12"/>
                                      <w:sz w:val="18"/>
                                      <w:szCs w:val="18"/>
                                      <w:lang w:val="en-US"/>
                                    </w:rPr>
                                    <w:tab/>
                                  </w:r>
                                </w:p>
                                <w:p w:rsidR="009C0859" w:rsidRDefault="009C0859">
                                  <w:pPr>
                                    <w:spacing w:before="36"/>
                                    <w:rPr>
                                      <w:spacing w:val="12"/>
                                      <w:sz w:val="18"/>
                                      <w:szCs w:val="18"/>
                                      <w:lang w:val="en-US"/>
                                    </w:rPr>
                                  </w:pPr>
                                </w:p>
                              </w:tc>
                              <w:tc>
                                <w:tcPr>
                                  <w:tcW w:w="2795" w:type="dxa"/>
                                  <w:shd w:val="clear" w:color="auto" w:fill="auto"/>
                                </w:tcPr>
                                <w:p w:rsidR="009C0859" w:rsidRDefault="009C0859" w:rsidP="00A237E8">
                                  <w:pPr>
                                    <w:snapToGrid w:val="0"/>
                                    <w:jc w:val="center"/>
                                    <w:rPr>
                                      <w:rFonts w:ascii="Arial Black" w:hAnsi="Arial Black" w:cs="Arial"/>
                                      <w:bCs/>
                                      <w:spacing w:val="38"/>
                                      <w:sz w:val="78"/>
                                      <w:szCs w:val="78"/>
                                      <w:lang w:val="en-US"/>
                                    </w:rPr>
                                  </w:pPr>
                                  <w:r>
                                    <w:rPr>
                                      <w:noProof/>
                                      <w:lang w:eastAsia="en-GB"/>
                                    </w:rPr>
                                    <w:drawing>
                                      <wp:inline distT="0" distB="0" distL="0" distR="0" wp14:anchorId="5060E4DA" wp14:editId="3038518B">
                                        <wp:extent cx="1295400" cy="676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676275"/>
                                                </a:xfrm>
                                                <a:prstGeom prst="rect">
                                                  <a:avLst/>
                                                </a:prstGeom>
                                                <a:noFill/>
                                                <a:ln>
                                                  <a:noFill/>
                                                </a:ln>
                                              </pic:spPr>
                                            </pic:pic>
                                          </a:graphicData>
                                        </a:graphic>
                                      </wp:inline>
                                    </w:drawing>
                                  </w:r>
                                  <w:r>
                                    <w:rPr>
                                      <w:spacing w:val="12"/>
                                      <w:sz w:val="18"/>
                                      <w:szCs w:val="18"/>
                                      <w:lang w:val="en-US"/>
                                    </w:rPr>
                                    <w:t xml:space="preserve">    </w:t>
                                  </w:r>
                                  <w:r w:rsidRPr="00E55CA5">
                                    <w:rPr>
                                      <w:spacing w:val="12"/>
                                      <w:sz w:val="16"/>
                                      <w:szCs w:val="16"/>
                                      <w:lang w:val="en-US"/>
                                    </w:rPr>
                                    <w:t>Charity Number 1135457</w:t>
                                  </w:r>
                                </w:p>
                              </w:tc>
                            </w:tr>
                          </w:tbl>
                          <w:p w:rsidR="009C0859" w:rsidRDefault="009C0859" w:rsidP="009C0859">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B67E3" id="_x0000_t202" coordsize="21600,21600" o:spt="202" path="m,l,21600r21600,l21600,xe">
                <v:stroke joinstyle="miter"/>
                <v:path gradientshapeok="t" o:connecttype="rect"/>
              </v:shapetype>
              <v:shape id="Text Box 2" o:spid="_x0000_s1026" type="#_x0000_t202" style="position:absolute;left:0;text-align:left;margin-left:-1.6pt;margin-top:15.55pt;width:5in;height:72.65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" stroked="f">
                <v:fill opacity="0"/>
                <v:textbox inset="0,0,0,0">
                  <w:txbxContent>
                    <w:tbl>
                      <w:tblPr>
                        <w:tblW w:w="0" w:type="auto"/>
                        <w:tblInd w:w="108" w:type="dxa"/>
                        <w:tblLayout w:type="fixed"/>
                        <w:tblLook w:val="0000" w:firstRow="0" w:lastRow="0" w:firstColumn="0" w:lastColumn="0" w:noHBand="0" w:noVBand="0"/>
                      </w:tblPr>
                      <w:tblGrid>
                        <w:gridCol w:w="4361"/>
                        <w:gridCol w:w="2795"/>
                      </w:tblGrid>
                      <w:tr w:rsidR="009C0859">
                        <w:trPr>
                          <w:trHeight w:val="1358"/>
                        </w:trPr>
                        <w:tc>
                          <w:tcPr>
                            <w:tcW w:w="4361" w:type="dxa"/>
                            <w:shd w:val="clear" w:color="auto" w:fill="auto"/>
                          </w:tcPr>
                          <w:p w:rsidR="009C0859" w:rsidRPr="00F434D4" w:rsidRDefault="009C0859">
                            <w:pPr>
                              <w:snapToGrid w:val="0"/>
                              <w:rPr>
                                <w:rFonts w:ascii="Arial" w:hAnsi="Arial" w:cs="Arial"/>
                                <w:b/>
                                <w:bCs/>
                                <w:sz w:val="8"/>
                                <w:szCs w:val="8"/>
                                <w:lang w:val="en-US"/>
                              </w:rPr>
                            </w:pPr>
                          </w:p>
                          <w:p w:rsidR="009C0859" w:rsidRDefault="009C0859">
                            <w:pPr>
                              <w:rPr>
                                <w:rFonts w:ascii="Arial" w:hAnsi="Arial" w:cs="Arial"/>
                                <w:b/>
                                <w:bCs/>
                                <w:sz w:val="32"/>
                                <w:szCs w:val="32"/>
                                <w:lang w:val="en-US"/>
                              </w:rPr>
                            </w:pPr>
                          </w:p>
                          <w:p w:rsidR="009C0859" w:rsidRDefault="009C0859">
                            <w:pPr>
                              <w:rPr>
                                <w:rFonts w:ascii="Arial" w:hAnsi="Arial" w:cs="Arial"/>
                                <w:b/>
                                <w:bCs/>
                                <w:sz w:val="32"/>
                                <w:szCs w:val="32"/>
                                <w:lang w:val="en-US"/>
                              </w:rPr>
                            </w:pPr>
                          </w:p>
                          <w:p w:rsidR="009C0859" w:rsidRPr="00F434D4" w:rsidRDefault="009C0859">
                            <w:pPr>
                              <w:tabs>
                                <w:tab w:val="left" w:pos="985"/>
                              </w:tabs>
                              <w:spacing w:before="36"/>
                              <w:rPr>
                                <w:spacing w:val="12"/>
                                <w:sz w:val="8"/>
                                <w:szCs w:val="8"/>
                                <w:lang w:val="en-US"/>
                              </w:rPr>
                            </w:pPr>
                            <w:r>
                              <w:rPr>
                                <w:spacing w:val="12"/>
                                <w:sz w:val="18"/>
                                <w:szCs w:val="18"/>
                                <w:lang w:val="en-US"/>
                              </w:rPr>
                              <w:tab/>
                            </w:r>
                          </w:p>
                          <w:p w:rsidR="009C0859" w:rsidRDefault="009C0859">
                            <w:pPr>
                              <w:spacing w:before="36"/>
                              <w:rPr>
                                <w:spacing w:val="12"/>
                                <w:sz w:val="18"/>
                                <w:szCs w:val="18"/>
                                <w:lang w:val="en-US"/>
                              </w:rPr>
                            </w:pPr>
                          </w:p>
                        </w:tc>
                        <w:tc>
                          <w:tcPr>
                            <w:tcW w:w="2795" w:type="dxa"/>
                            <w:shd w:val="clear" w:color="auto" w:fill="auto"/>
                          </w:tcPr>
                          <w:p w:rsidR="009C0859" w:rsidRDefault="009C0859" w:rsidP="00A237E8">
                            <w:pPr>
                              <w:snapToGrid w:val="0"/>
                              <w:jc w:val="center"/>
                              <w:rPr>
                                <w:rFonts w:ascii="Arial Black" w:hAnsi="Arial Black" w:cs="Arial"/>
                                <w:bCs/>
                                <w:spacing w:val="38"/>
                                <w:sz w:val="78"/>
                                <w:szCs w:val="78"/>
                                <w:lang w:val="en-US"/>
                              </w:rPr>
                            </w:pPr>
                            <w:r>
                              <w:rPr>
                                <w:noProof/>
                                <w:lang w:eastAsia="en-GB"/>
                              </w:rPr>
                              <w:drawing>
                                <wp:inline distT="0" distB="0" distL="0" distR="0" wp14:anchorId="5060E4DA" wp14:editId="3038518B">
                                  <wp:extent cx="1295400" cy="676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676275"/>
                                          </a:xfrm>
                                          <a:prstGeom prst="rect">
                                            <a:avLst/>
                                          </a:prstGeom>
                                          <a:noFill/>
                                          <a:ln>
                                            <a:noFill/>
                                          </a:ln>
                                        </pic:spPr>
                                      </pic:pic>
                                    </a:graphicData>
                                  </a:graphic>
                                </wp:inline>
                              </w:drawing>
                            </w:r>
                            <w:r>
                              <w:rPr>
                                <w:spacing w:val="12"/>
                                <w:sz w:val="18"/>
                                <w:szCs w:val="18"/>
                                <w:lang w:val="en-US"/>
                              </w:rPr>
                              <w:t xml:space="preserve">    </w:t>
                            </w:r>
                            <w:r w:rsidRPr="00E55CA5">
                              <w:rPr>
                                <w:spacing w:val="12"/>
                                <w:sz w:val="16"/>
                                <w:szCs w:val="16"/>
                                <w:lang w:val="en-US"/>
                              </w:rPr>
                              <w:t>Charity Number 1135457</w:t>
                            </w:r>
                          </w:p>
                        </w:tc>
                      </w:tr>
                    </w:tbl>
                    <w:p w:rsidR="009C0859" w:rsidRDefault="009C0859" w:rsidP="009C0859">
                      <w:r>
                        <w:t xml:space="preserve"> </w:t>
                      </w:r>
                    </w:p>
                  </w:txbxContent>
                </v:textbox>
                <w10:wrap type="square" side="largest" anchorx="margin"/>
              </v:shape>
            </w:pict>
          </mc:Fallback>
        </mc:AlternateContent>
      </w:r>
      <w:r w:rsidRPr="0063619F">
        <w:rPr>
          <w:rFonts w:ascii="Times New Roman" w:hAnsi="Times New Roman" w:cs="Times New Roman"/>
          <w:sz w:val="16"/>
          <w:szCs w:val="16"/>
        </w:rPr>
        <w:t>Précis by Guy Williams</w:t>
      </w:r>
    </w:p>
    <w:p w:rsidR="009C0859" w:rsidRDefault="009C0859">
      <w:r>
        <w:br w:type="page"/>
      </w:r>
    </w:p>
    <w:p w:rsidR="009C0859" w:rsidRDefault="009C0859" w:rsidP="009C0859">
      <w:pPr>
        <w:pStyle w:val="NoSpacing"/>
        <w:jc w:val="center"/>
        <w:rPr>
          <w:rFonts w:ascii="Times New Roman" w:hAnsi="Times New Roman" w:cs="Times New Roman"/>
          <w:b/>
          <w:sz w:val="20"/>
          <w:szCs w:val="20"/>
        </w:rPr>
      </w:pPr>
      <w:r w:rsidRPr="00865127">
        <w:rPr>
          <w:rFonts w:ascii="Times New Roman" w:hAnsi="Times New Roman" w:cs="Times New Roman"/>
          <w:b/>
          <w:sz w:val="20"/>
          <w:szCs w:val="20"/>
        </w:rPr>
        <w:lastRenderedPageBreak/>
        <w:t>Editorial</w:t>
      </w:r>
    </w:p>
    <w:p w:rsidR="009C0859" w:rsidRPr="00865127" w:rsidRDefault="009C0859" w:rsidP="009C0859">
      <w:pPr>
        <w:pStyle w:val="NoSpacing"/>
        <w:jc w:val="both"/>
        <w:rPr>
          <w:rFonts w:ascii="Times New Roman" w:hAnsi="Times New Roman" w:cs="Times New Roman"/>
          <w:b/>
          <w:sz w:val="20"/>
          <w:szCs w:val="20"/>
        </w:rPr>
      </w:pPr>
    </w:p>
    <w:p w:rsidR="009C0859" w:rsidRDefault="009C0859" w:rsidP="009C0859">
      <w:pPr>
        <w:pStyle w:val="NoSpacing"/>
        <w:jc w:val="both"/>
        <w:rPr>
          <w:rFonts w:ascii="Times New Roman" w:hAnsi="Times New Roman" w:cs="Times New Roman"/>
          <w:sz w:val="20"/>
          <w:szCs w:val="20"/>
        </w:rPr>
      </w:pPr>
      <w:r w:rsidRPr="00865127">
        <w:rPr>
          <w:rFonts w:ascii="Times New Roman" w:hAnsi="Times New Roman" w:cs="Times New Roman"/>
          <w:sz w:val="20"/>
          <w:szCs w:val="20"/>
        </w:rPr>
        <w:t>That Dorothy Heathcote formulated significant contributions to education methodology is beyond question.  Both in her work with teachers and in her writings</w:t>
      </w:r>
      <w:r>
        <w:rPr>
          <w:rFonts w:ascii="Times New Roman" w:hAnsi="Times New Roman" w:cs="Times New Roman"/>
          <w:sz w:val="20"/>
          <w:szCs w:val="20"/>
        </w:rPr>
        <w:t>,</w:t>
      </w:r>
      <w:r w:rsidRPr="00865127">
        <w:rPr>
          <w:rFonts w:ascii="Times New Roman" w:hAnsi="Times New Roman" w:cs="Times New Roman"/>
          <w:sz w:val="20"/>
          <w:szCs w:val="20"/>
        </w:rPr>
        <w:t xml:space="preserve"> Dorothy’s impact on classroom practice and on teachers understanding of it has been profound.</w:t>
      </w:r>
    </w:p>
    <w:p w:rsidR="009C0859" w:rsidRPr="00865127" w:rsidRDefault="009C0859" w:rsidP="009C0859">
      <w:pPr>
        <w:pStyle w:val="NoSpacing"/>
        <w:jc w:val="both"/>
        <w:rPr>
          <w:rFonts w:ascii="Times New Roman" w:hAnsi="Times New Roman" w:cs="Times New Roman"/>
          <w:sz w:val="20"/>
          <w:szCs w:val="20"/>
        </w:rPr>
      </w:pPr>
    </w:p>
    <w:p w:rsidR="009C0859" w:rsidRPr="00865127" w:rsidRDefault="009C0859" w:rsidP="009C0859">
      <w:pPr>
        <w:pStyle w:val="NoSpacing"/>
        <w:jc w:val="both"/>
        <w:rPr>
          <w:rFonts w:ascii="Times New Roman" w:hAnsi="Times New Roman" w:cs="Times New Roman"/>
          <w:sz w:val="20"/>
          <w:szCs w:val="20"/>
        </w:rPr>
      </w:pPr>
      <w:r w:rsidRPr="00865127">
        <w:rPr>
          <w:rFonts w:ascii="Times New Roman" w:hAnsi="Times New Roman" w:cs="Times New Roman"/>
          <w:sz w:val="20"/>
          <w:szCs w:val="20"/>
        </w:rPr>
        <w:t>It has been of great interest to us that in the wake of the societal upheavals of the past two years</w:t>
      </w:r>
      <w:r>
        <w:rPr>
          <w:rFonts w:ascii="Times New Roman" w:hAnsi="Times New Roman" w:cs="Times New Roman"/>
          <w:sz w:val="20"/>
          <w:szCs w:val="20"/>
        </w:rPr>
        <w:t>,</w:t>
      </w:r>
      <w:r w:rsidRPr="00865127">
        <w:rPr>
          <w:rFonts w:ascii="Times New Roman" w:hAnsi="Times New Roman" w:cs="Times New Roman"/>
          <w:sz w:val="20"/>
          <w:szCs w:val="20"/>
        </w:rPr>
        <w:t xml:space="preserve"> there has been a re-awakening of interest in Heathcote’s work and of the humanising pedagogy she advocated. We are very happy to be publishing this issue of </w:t>
      </w:r>
      <w:r w:rsidRPr="0063619F">
        <w:rPr>
          <w:rFonts w:ascii="Times New Roman" w:hAnsi="Times New Roman" w:cs="Times New Roman"/>
          <w:i/>
          <w:iCs/>
          <w:sz w:val="20"/>
          <w:szCs w:val="20"/>
        </w:rPr>
        <w:t>The Journal for Drama in Education</w:t>
      </w:r>
      <w:r w:rsidRPr="00865127">
        <w:rPr>
          <w:rFonts w:ascii="Times New Roman" w:hAnsi="Times New Roman" w:cs="Times New Roman"/>
          <w:sz w:val="20"/>
          <w:szCs w:val="20"/>
        </w:rPr>
        <w:t xml:space="preserve"> as a companion piece to the </w:t>
      </w:r>
      <w:r w:rsidRPr="00865127">
        <w:rPr>
          <w:rFonts w:ascii="Times New Roman" w:eastAsia="Times New Roman" w:hAnsi="Times New Roman" w:cs="Times New Roman"/>
          <w:i/>
          <w:spacing w:val="8"/>
          <w:kern w:val="36"/>
          <w:sz w:val="20"/>
          <w:szCs w:val="20"/>
          <w:lang w:eastAsia="en-GB"/>
        </w:rPr>
        <w:t>Dorothy Heathcote Now: International Conference 8-10 October 2021.</w:t>
      </w:r>
    </w:p>
    <w:p w:rsidR="009C0859" w:rsidRPr="00865127" w:rsidRDefault="009C0859" w:rsidP="009C0859">
      <w:pPr>
        <w:pStyle w:val="NoSpacing"/>
        <w:jc w:val="both"/>
        <w:rPr>
          <w:rFonts w:ascii="Times New Roman" w:hAnsi="Times New Roman" w:cs="Times New Roman"/>
          <w:sz w:val="20"/>
          <w:szCs w:val="20"/>
        </w:rPr>
      </w:pPr>
    </w:p>
    <w:p w:rsidR="009C0859" w:rsidRPr="00865127" w:rsidRDefault="009C0859" w:rsidP="009C0859">
      <w:pPr>
        <w:pStyle w:val="NoSpacing"/>
        <w:jc w:val="both"/>
        <w:rPr>
          <w:rFonts w:ascii="Times New Roman" w:hAnsi="Times New Roman" w:cs="Times New Roman"/>
          <w:sz w:val="20"/>
          <w:szCs w:val="20"/>
        </w:rPr>
      </w:pPr>
      <w:r w:rsidRPr="00865127">
        <w:rPr>
          <w:rFonts w:ascii="Times New Roman" w:hAnsi="Times New Roman" w:cs="Times New Roman"/>
          <w:sz w:val="20"/>
          <w:szCs w:val="20"/>
        </w:rPr>
        <w:t>It could be argued that this is a key generational moment. Alth</w:t>
      </w:r>
      <w:r>
        <w:rPr>
          <w:rFonts w:ascii="Times New Roman" w:hAnsi="Times New Roman" w:cs="Times New Roman"/>
          <w:sz w:val="20"/>
          <w:szCs w:val="20"/>
        </w:rPr>
        <w:t>ough Dorothy herself died in 2011,</w:t>
      </w:r>
      <w:r w:rsidRPr="00865127">
        <w:rPr>
          <w:rFonts w:ascii="Times New Roman" w:hAnsi="Times New Roman" w:cs="Times New Roman"/>
          <w:sz w:val="20"/>
          <w:szCs w:val="20"/>
        </w:rPr>
        <w:t xml:space="preserve"> there are many practitioners at present in the UK and around the world who worked with her, who took on and developed and broadcast her work. Some of them have contributed articles to this issue. What we do now matters. What we have learnt from her, what her body of work has to offer us now can enable us to remodel what happens in our classrooms so that we don’t return to the old ways, the old normal</w:t>
      </w:r>
      <w:r>
        <w:rPr>
          <w:rFonts w:ascii="Times New Roman" w:hAnsi="Times New Roman" w:cs="Times New Roman"/>
          <w:sz w:val="20"/>
          <w:szCs w:val="20"/>
        </w:rPr>
        <w:t>,</w:t>
      </w:r>
      <w:r w:rsidRPr="00865127">
        <w:rPr>
          <w:rFonts w:ascii="Times New Roman" w:hAnsi="Times New Roman" w:cs="Times New Roman"/>
          <w:sz w:val="20"/>
          <w:szCs w:val="20"/>
        </w:rPr>
        <w:t xml:space="preserve"> that gave rise to the neglectful chaos we have been trying to live through.</w:t>
      </w:r>
    </w:p>
    <w:p w:rsidR="009C0859" w:rsidRPr="00865127" w:rsidRDefault="009C0859" w:rsidP="009C0859">
      <w:pPr>
        <w:pStyle w:val="NoSpacing"/>
        <w:jc w:val="both"/>
        <w:rPr>
          <w:rFonts w:ascii="Times New Roman" w:hAnsi="Times New Roman" w:cs="Times New Roman"/>
          <w:sz w:val="20"/>
          <w:szCs w:val="20"/>
        </w:rPr>
      </w:pPr>
    </w:p>
    <w:p w:rsidR="009C0859" w:rsidRDefault="009C0859" w:rsidP="009C0859">
      <w:pPr>
        <w:pStyle w:val="NoSpacing"/>
        <w:jc w:val="both"/>
        <w:rPr>
          <w:rFonts w:ascii="Times New Roman" w:hAnsi="Times New Roman" w:cs="Times New Roman"/>
          <w:sz w:val="20"/>
          <w:szCs w:val="20"/>
        </w:rPr>
      </w:pPr>
      <w:r w:rsidRPr="00865127">
        <w:rPr>
          <w:rFonts w:ascii="Times New Roman" w:hAnsi="Times New Roman" w:cs="Times New Roman"/>
          <w:sz w:val="20"/>
          <w:szCs w:val="20"/>
        </w:rPr>
        <w:t>The back</w:t>
      </w:r>
      <w:r>
        <w:rPr>
          <w:rFonts w:ascii="Times New Roman" w:hAnsi="Times New Roman" w:cs="Times New Roman"/>
          <w:sz w:val="20"/>
          <w:szCs w:val="20"/>
        </w:rPr>
        <w:t>bone</w:t>
      </w:r>
      <w:r w:rsidRPr="00865127">
        <w:rPr>
          <w:rFonts w:ascii="Times New Roman" w:hAnsi="Times New Roman" w:cs="Times New Roman"/>
          <w:sz w:val="20"/>
          <w:szCs w:val="20"/>
        </w:rPr>
        <w:t xml:space="preserve"> of this issue is Dorothy’s original article </w:t>
      </w:r>
      <w:r w:rsidRPr="00865127">
        <w:rPr>
          <w:rFonts w:ascii="Times New Roman" w:hAnsi="Times New Roman" w:cs="Times New Roman"/>
          <w:i/>
          <w:sz w:val="20"/>
          <w:szCs w:val="20"/>
        </w:rPr>
        <w:t>Contexts for Active Learning.  Four models to forge links between schooling and society</w:t>
      </w:r>
      <w:r w:rsidRPr="00DD53D1">
        <w:rPr>
          <w:rStyle w:val="FootnoteReference"/>
          <w:rFonts w:ascii="Times New Roman" w:hAnsi="Times New Roman" w:cs="Times New Roman"/>
        </w:rPr>
        <w:footnoteReference w:id="1"/>
      </w:r>
      <w:r w:rsidRPr="00865127">
        <w:rPr>
          <w:rFonts w:ascii="Times New Roman" w:hAnsi="Times New Roman" w:cs="Times New Roman"/>
          <w:i/>
          <w:sz w:val="20"/>
          <w:szCs w:val="20"/>
        </w:rPr>
        <w:t xml:space="preserve">, </w:t>
      </w:r>
      <w:r w:rsidRPr="00865127">
        <w:rPr>
          <w:rFonts w:ascii="Times New Roman" w:hAnsi="Times New Roman" w:cs="Times New Roman"/>
          <w:sz w:val="20"/>
          <w:szCs w:val="20"/>
        </w:rPr>
        <w:t>which she wrote following a presentation of it that she made to the NATD</w:t>
      </w:r>
      <w:r w:rsidRPr="00865127">
        <w:rPr>
          <w:rStyle w:val="FootnoteReference"/>
          <w:rFonts w:ascii="Times New Roman" w:hAnsi="Times New Roman" w:cs="Times New Roman"/>
        </w:rPr>
        <w:footnoteReference w:id="2"/>
      </w:r>
      <w:r w:rsidRPr="00865127">
        <w:rPr>
          <w:rFonts w:ascii="Times New Roman" w:hAnsi="Times New Roman" w:cs="Times New Roman"/>
          <w:sz w:val="20"/>
          <w:szCs w:val="20"/>
        </w:rPr>
        <w:t xml:space="preserve"> conference</w:t>
      </w:r>
      <w:r>
        <w:rPr>
          <w:rFonts w:ascii="Times New Roman" w:hAnsi="Times New Roman" w:cs="Times New Roman"/>
          <w:sz w:val="20"/>
          <w:szCs w:val="20"/>
        </w:rPr>
        <w:t>, Gradgrind’s Children, in 1998</w:t>
      </w:r>
      <w:r w:rsidRPr="00865127">
        <w:rPr>
          <w:rFonts w:ascii="Times New Roman" w:hAnsi="Times New Roman" w:cs="Times New Roman"/>
          <w:sz w:val="20"/>
          <w:szCs w:val="20"/>
        </w:rPr>
        <w:t>. In this article</w:t>
      </w:r>
      <w:r>
        <w:rPr>
          <w:rFonts w:ascii="Times New Roman" w:hAnsi="Times New Roman" w:cs="Times New Roman"/>
          <w:sz w:val="20"/>
          <w:szCs w:val="20"/>
        </w:rPr>
        <w:t>,</w:t>
      </w:r>
      <w:r w:rsidRPr="00865127">
        <w:rPr>
          <w:rFonts w:ascii="Times New Roman" w:hAnsi="Times New Roman" w:cs="Times New Roman"/>
          <w:sz w:val="20"/>
          <w:szCs w:val="20"/>
        </w:rPr>
        <w:t xml:space="preserve"> Heathcote interrogated the world of context</w:t>
      </w:r>
      <w:r>
        <w:rPr>
          <w:rFonts w:ascii="Times New Roman" w:hAnsi="Times New Roman" w:cs="Times New Roman"/>
          <w:sz w:val="20"/>
          <w:szCs w:val="20"/>
        </w:rPr>
        <w:t>s as a learning tool, describing</w:t>
      </w:r>
      <w:r w:rsidRPr="00865127">
        <w:rPr>
          <w:rFonts w:ascii="Times New Roman" w:hAnsi="Times New Roman" w:cs="Times New Roman"/>
          <w:sz w:val="20"/>
          <w:szCs w:val="20"/>
        </w:rPr>
        <w:t xml:space="preserve"> four stages in her theory and practice. This description changed our understanding of how children learn and of how we can use drama as a learning tool. </w:t>
      </w:r>
    </w:p>
    <w:p w:rsidR="009C0859" w:rsidRPr="00865127" w:rsidRDefault="009C0859" w:rsidP="009C0859">
      <w:pPr>
        <w:pStyle w:val="NoSpacing"/>
        <w:jc w:val="both"/>
        <w:rPr>
          <w:rFonts w:ascii="Times New Roman" w:hAnsi="Times New Roman" w:cs="Times New Roman"/>
          <w:sz w:val="20"/>
          <w:szCs w:val="20"/>
        </w:rPr>
      </w:pPr>
    </w:p>
    <w:p w:rsidR="009C0859" w:rsidRDefault="009C0859" w:rsidP="009C0859">
      <w:pPr>
        <w:pStyle w:val="NoSpacing"/>
        <w:jc w:val="both"/>
        <w:rPr>
          <w:rFonts w:ascii="Times New Roman" w:hAnsi="Times New Roman" w:cs="Times New Roman"/>
          <w:sz w:val="20"/>
          <w:szCs w:val="20"/>
        </w:rPr>
      </w:pPr>
      <w:r w:rsidRPr="00865127">
        <w:rPr>
          <w:rFonts w:ascii="Times New Roman" w:hAnsi="Times New Roman" w:cs="Times New Roman"/>
          <w:sz w:val="20"/>
          <w:szCs w:val="20"/>
        </w:rPr>
        <w:t>Further below</w:t>
      </w:r>
      <w:r>
        <w:rPr>
          <w:rFonts w:ascii="Times New Roman" w:hAnsi="Times New Roman" w:cs="Times New Roman"/>
          <w:sz w:val="20"/>
          <w:szCs w:val="20"/>
        </w:rPr>
        <w:t>,</w:t>
      </w:r>
      <w:r w:rsidRPr="00865127">
        <w:rPr>
          <w:rFonts w:ascii="Times New Roman" w:hAnsi="Times New Roman" w:cs="Times New Roman"/>
          <w:sz w:val="20"/>
          <w:szCs w:val="20"/>
        </w:rPr>
        <w:t xml:space="preserve"> we offer a précis of the whole article.</w:t>
      </w:r>
      <w:r>
        <w:rPr>
          <w:rFonts w:ascii="Times New Roman" w:hAnsi="Times New Roman" w:cs="Times New Roman"/>
          <w:sz w:val="20"/>
          <w:szCs w:val="20"/>
        </w:rPr>
        <w:t xml:space="preserve"> (If you haven’t had the opportunity to read the original, we recommend that you do. It is available in Volume 19, Issue 1 and was reprinted in the Commemorative Issue Volume 28, Issue 3.)</w:t>
      </w:r>
      <w:r w:rsidRPr="00865127">
        <w:rPr>
          <w:rFonts w:ascii="Times New Roman" w:hAnsi="Times New Roman" w:cs="Times New Roman"/>
          <w:sz w:val="20"/>
          <w:szCs w:val="20"/>
        </w:rPr>
        <w:t xml:space="preserve"> In the first instance, as we introduce each of the articles in this issue</w:t>
      </w:r>
      <w:r>
        <w:rPr>
          <w:rFonts w:ascii="Times New Roman" w:hAnsi="Times New Roman" w:cs="Times New Roman"/>
          <w:sz w:val="20"/>
          <w:szCs w:val="20"/>
        </w:rPr>
        <w:t>,</w:t>
      </w:r>
      <w:r w:rsidRPr="00865127">
        <w:rPr>
          <w:rFonts w:ascii="Times New Roman" w:hAnsi="Times New Roman" w:cs="Times New Roman"/>
          <w:sz w:val="20"/>
          <w:szCs w:val="20"/>
        </w:rPr>
        <w:t xml:space="preserve"> we offer a list</w:t>
      </w:r>
      <w:r>
        <w:rPr>
          <w:rFonts w:ascii="Times New Roman" w:hAnsi="Times New Roman" w:cs="Times New Roman"/>
          <w:sz w:val="20"/>
          <w:szCs w:val="20"/>
        </w:rPr>
        <w:t xml:space="preserve"> of</w:t>
      </w:r>
      <w:r w:rsidRPr="00865127">
        <w:rPr>
          <w:rFonts w:ascii="Times New Roman" w:hAnsi="Times New Roman" w:cs="Times New Roman"/>
          <w:sz w:val="20"/>
          <w:szCs w:val="20"/>
        </w:rPr>
        <w:t xml:space="preserve"> the contexts:</w:t>
      </w:r>
    </w:p>
    <w:p w:rsidR="009C0859" w:rsidRPr="00865127" w:rsidRDefault="009C0859" w:rsidP="009C0859">
      <w:pPr>
        <w:pStyle w:val="NoSpacing"/>
        <w:jc w:val="both"/>
        <w:rPr>
          <w:rFonts w:ascii="Times New Roman" w:hAnsi="Times New Roman" w:cs="Times New Roman"/>
          <w:sz w:val="20"/>
          <w:szCs w:val="20"/>
        </w:rPr>
      </w:pPr>
    </w:p>
    <w:p w:rsidR="009C0859" w:rsidRPr="00865127" w:rsidRDefault="009C0859" w:rsidP="009C0859">
      <w:pPr>
        <w:pStyle w:val="NoSpacing"/>
        <w:jc w:val="both"/>
        <w:rPr>
          <w:rFonts w:ascii="Times New Roman" w:hAnsi="Times New Roman" w:cs="Times New Roman"/>
          <w:sz w:val="20"/>
          <w:szCs w:val="20"/>
        </w:rPr>
      </w:pPr>
      <w:r w:rsidRPr="00865127">
        <w:rPr>
          <w:rFonts w:ascii="Times New Roman" w:hAnsi="Times New Roman" w:cs="Times New Roman"/>
          <w:sz w:val="20"/>
          <w:szCs w:val="20"/>
        </w:rPr>
        <w:t>Model 1 – Drama used to explore people</w:t>
      </w:r>
    </w:p>
    <w:p w:rsidR="009C0859" w:rsidRPr="00865127" w:rsidRDefault="009C0859" w:rsidP="009C0859">
      <w:pPr>
        <w:pStyle w:val="NoSpacing"/>
        <w:jc w:val="both"/>
        <w:rPr>
          <w:rFonts w:ascii="Times New Roman" w:hAnsi="Times New Roman" w:cs="Times New Roman"/>
          <w:sz w:val="20"/>
          <w:szCs w:val="20"/>
        </w:rPr>
      </w:pPr>
      <w:r w:rsidRPr="00865127">
        <w:rPr>
          <w:rFonts w:ascii="Times New Roman" w:hAnsi="Times New Roman" w:cs="Times New Roman"/>
          <w:sz w:val="20"/>
          <w:szCs w:val="20"/>
        </w:rPr>
        <w:t xml:space="preserve">Model 2 – Mantle of the Expert </w:t>
      </w:r>
    </w:p>
    <w:p w:rsidR="009C0859" w:rsidRPr="00865127" w:rsidRDefault="009C0859" w:rsidP="009C0859">
      <w:pPr>
        <w:pStyle w:val="NoSpacing"/>
        <w:jc w:val="both"/>
        <w:rPr>
          <w:rFonts w:ascii="Times New Roman" w:hAnsi="Times New Roman" w:cs="Times New Roman"/>
          <w:sz w:val="20"/>
          <w:szCs w:val="20"/>
        </w:rPr>
      </w:pPr>
      <w:r w:rsidRPr="00865127">
        <w:rPr>
          <w:rFonts w:ascii="Times New Roman" w:hAnsi="Times New Roman" w:cs="Times New Roman"/>
          <w:sz w:val="20"/>
          <w:szCs w:val="20"/>
        </w:rPr>
        <w:t xml:space="preserve">Model 3 – Rolling Role </w:t>
      </w:r>
    </w:p>
    <w:p w:rsidR="009C0859" w:rsidRPr="00865127" w:rsidRDefault="009C0859" w:rsidP="009C0859">
      <w:pPr>
        <w:pStyle w:val="NoSpacing"/>
        <w:jc w:val="both"/>
        <w:rPr>
          <w:rFonts w:ascii="Times New Roman" w:hAnsi="Times New Roman" w:cs="Times New Roman"/>
          <w:sz w:val="20"/>
          <w:szCs w:val="20"/>
        </w:rPr>
      </w:pPr>
      <w:r w:rsidRPr="00865127">
        <w:rPr>
          <w:rFonts w:ascii="Times New Roman" w:hAnsi="Times New Roman" w:cs="Times New Roman"/>
          <w:sz w:val="20"/>
          <w:szCs w:val="20"/>
        </w:rPr>
        <w:t>Model 4 – The Commission Model</w:t>
      </w:r>
    </w:p>
    <w:p w:rsidR="009C0859" w:rsidRPr="00865127" w:rsidRDefault="009C0859" w:rsidP="009C0859">
      <w:pPr>
        <w:pStyle w:val="NoSpacing"/>
        <w:jc w:val="both"/>
        <w:rPr>
          <w:rFonts w:ascii="Times New Roman" w:hAnsi="Times New Roman" w:cs="Times New Roman"/>
          <w:sz w:val="20"/>
          <w:szCs w:val="20"/>
        </w:rPr>
      </w:pPr>
    </w:p>
    <w:p w:rsidR="009C0859" w:rsidRPr="00865127" w:rsidRDefault="009C0859" w:rsidP="009C0859">
      <w:pPr>
        <w:pStyle w:val="NoSpacing"/>
        <w:jc w:val="both"/>
        <w:rPr>
          <w:rFonts w:ascii="Times New Roman" w:hAnsi="Times New Roman" w:cs="Times New Roman"/>
          <w:sz w:val="20"/>
          <w:szCs w:val="20"/>
        </w:rPr>
      </w:pPr>
      <w:r w:rsidRPr="00865127">
        <w:rPr>
          <w:rFonts w:ascii="Times New Roman" w:hAnsi="Times New Roman" w:cs="Times New Roman"/>
          <w:b/>
          <w:sz w:val="20"/>
          <w:szCs w:val="20"/>
        </w:rPr>
        <w:t>Model 1</w:t>
      </w:r>
      <w:r w:rsidRPr="00865127">
        <w:rPr>
          <w:rFonts w:ascii="Times New Roman" w:hAnsi="Times New Roman" w:cs="Times New Roman"/>
          <w:sz w:val="20"/>
          <w:szCs w:val="20"/>
        </w:rPr>
        <w:t xml:space="preserve"> – Drama used to explore people</w:t>
      </w:r>
    </w:p>
    <w:p w:rsidR="009C0859" w:rsidRPr="00865127" w:rsidRDefault="009C0859" w:rsidP="009C0859">
      <w:pPr>
        <w:pStyle w:val="NoSpacing"/>
        <w:jc w:val="both"/>
        <w:rPr>
          <w:rFonts w:ascii="Times New Roman" w:hAnsi="Times New Roman" w:cs="Times New Roman"/>
          <w:sz w:val="20"/>
          <w:szCs w:val="20"/>
        </w:rPr>
      </w:pPr>
    </w:p>
    <w:p w:rsidR="009C0859" w:rsidRDefault="009C0859" w:rsidP="009C0859">
      <w:pPr>
        <w:jc w:val="both"/>
        <w:rPr>
          <w:rFonts w:cs="Times New Roman"/>
          <w:sz w:val="20"/>
          <w:szCs w:val="20"/>
        </w:rPr>
      </w:pPr>
      <w:r>
        <w:rPr>
          <w:rFonts w:cs="Times New Roman"/>
          <w:sz w:val="20"/>
          <w:szCs w:val="20"/>
        </w:rPr>
        <w:t xml:space="preserve">In </w:t>
      </w:r>
      <w:r w:rsidRPr="00865127">
        <w:rPr>
          <w:rFonts w:cs="Times New Roman"/>
          <w:bCs/>
          <w:i/>
          <w:iCs/>
          <w:sz w:val="20"/>
          <w:szCs w:val="20"/>
        </w:rPr>
        <w:t>Man in a mess: person in a paradox, person in a paradigm, person with a problem, person in a pandemic…</w:t>
      </w:r>
      <w:r>
        <w:rPr>
          <w:rFonts w:cs="Times New Roman"/>
          <w:bCs/>
          <w:i/>
          <w:iCs/>
          <w:sz w:val="20"/>
          <w:szCs w:val="20"/>
        </w:rPr>
        <w:t xml:space="preserve"> </w:t>
      </w:r>
      <w:r w:rsidRPr="00865127">
        <w:rPr>
          <w:rFonts w:cs="Times New Roman"/>
          <w:sz w:val="20"/>
          <w:szCs w:val="20"/>
        </w:rPr>
        <w:t xml:space="preserve">Sorrel Oates gives an account of why </w:t>
      </w:r>
      <w:r>
        <w:rPr>
          <w:rFonts w:cs="Times New Roman"/>
          <w:sz w:val="20"/>
          <w:szCs w:val="20"/>
        </w:rPr>
        <w:t xml:space="preserve">Heathcote’s influence is </w:t>
      </w:r>
      <w:r>
        <w:rPr>
          <w:rFonts w:cs="Times New Roman"/>
          <w:sz w:val="20"/>
          <w:szCs w:val="20"/>
        </w:rPr>
        <w:lastRenderedPageBreak/>
        <w:t>still so powerful today. She describes the political context within which she has to work and the journey she has been on to rediscover the principles that established her as such a formidable practitioner in the early 1990s as she emerged from David Davis’ PGCE (Postgraduate Certificate of Education) course at The University of Central England (UCE). Indeed, she very clearly describes Education in a mess and Society in a mess. Her solution has been to gather like-minded colleagues around her, in a progressive school and go back to highly complex basics. She eschews the artificial divide that has bedevilled Drama in Education for several decades and celebrates the essential relationship between Process Drama and the Art Form of Theatre. She teases out the key elements of Process Drama as invented by Heathcote; articulates the centrality of the crucible paradigm; and champions Heathcote’s ‘Levels of Meaning’ as the bedrock of her work. In this  powerful opening piece, Oates concludes by placing the central, humanising demand:</w:t>
      </w:r>
    </w:p>
    <w:p w:rsidR="009C0859" w:rsidRDefault="009C0859" w:rsidP="009C0859">
      <w:pPr>
        <w:jc w:val="both"/>
        <w:rPr>
          <w:rFonts w:cs="Times New Roman"/>
          <w:sz w:val="20"/>
          <w:szCs w:val="20"/>
        </w:rPr>
      </w:pPr>
    </w:p>
    <w:p w:rsidR="009C0859" w:rsidRDefault="009C0859" w:rsidP="009C0859">
      <w:pPr>
        <w:ind w:left="720" w:right="510"/>
        <w:jc w:val="both"/>
        <w:rPr>
          <w:rFonts w:cs="Times New Roman"/>
          <w:sz w:val="20"/>
          <w:szCs w:val="20"/>
        </w:rPr>
      </w:pPr>
      <w:r w:rsidRPr="00C42324">
        <w:rPr>
          <w:rFonts w:cs="Times New Roman"/>
          <w:sz w:val="20"/>
          <w:szCs w:val="20"/>
        </w:rPr>
        <w:t>Do they stand and watch or do they intervene?  Like Edward Bond, Dorothy’s ‘man in a mess’</w:t>
      </w:r>
      <w:r>
        <w:rPr>
          <w:rFonts w:cs="Times New Roman"/>
          <w:sz w:val="20"/>
          <w:szCs w:val="20"/>
        </w:rPr>
        <w:t xml:space="preserve"> </w:t>
      </w:r>
      <w:r w:rsidRPr="00C42324">
        <w:rPr>
          <w:rFonts w:cs="Times New Roman"/>
          <w:sz w:val="20"/>
          <w:szCs w:val="20"/>
        </w:rPr>
        <w:t>demands that we take a position, that we ask that question.</w:t>
      </w:r>
    </w:p>
    <w:p w:rsidR="009C0859" w:rsidRPr="00C42324" w:rsidRDefault="009C0859" w:rsidP="009C0859">
      <w:pPr>
        <w:ind w:left="720" w:right="510"/>
        <w:jc w:val="both"/>
        <w:rPr>
          <w:rFonts w:cs="Times New Roman"/>
          <w:sz w:val="20"/>
          <w:szCs w:val="20"/>
        </w:rPr>
      </w:pPr>
    </w:p>
    <w:p w:rsidR="009C0859" w:rsidRDefault="009C0859" w:rsidP="009C0859">
      <w:pPr>
        <w:pStyle w:val="xydpa88f8d89msonormal"/>
        <w:shd w:val="clear" w:color="auto" w:fill="FFFFFF"/>
        <w:spacing w:before="0" w:beforeAutospacing="0" w:after="0" w:afterAutospacing="0"/>
        <w:jc w:val="both"/>
        <w:rPr>
          <w:color w:val="26282A"/>
          <w:sz w:val="20"/>
          <w:szCs w:val="20"/>
          <w:bdr w:val="none" w:sz="0" w:space="0" w:color="auto" w:frame="1"/>
        </w:rPr>
      </w:pPr>
      <w:r w:rsidRPr="001834E0">
        <w:rPr>
          <w:color w:val="201F1E"/>
          <w:sz w:val="20"/>
          <w:szCs w:val="20"/>
          <w:bdr w:val="none" w:sz="0" w:space="0" w:color="auto" w:frame="1"/>
          <w:lang w:val="en-IE"/>
        </w:rPr>
        <w:t>Guy Williams’ </w:t>
      </w:r>
      <w:r w:rsidRPr="001834E0">
        <w:rPr>
          <w:i/>
          <w:iCs/>
          <w:color w:val="201F1E"/>
          <w:sz w:val="20"/>
          <w:szCs w:val="20"/>
          <w:bdr w:val="none" w:sz="0" w:space="0" w:color="auto" w:frame="1"/>
          <w:lang w:val="en-IE"/>
        </w:rPr>
        <w:t>Shaving Heads: Informing our total existence</w:t>
      </w:r>
      <w:r w:rsidRPr="001834E0">
        <w:rPr>
          <w:color w:val="201F1E"/>
          <w:sz w:val="20"/>
          <w:szCs w:val="20"/>
          <w:bdr w:val="none" w:sz="0" w:space="0" w:color="auto" w:frame="1"/>
          <w:lang w:val="en-IE"/>
        </w:rPr>
        <w:t> opens with the stimulating act of shaving their heads by his students at a performance in August 2010, Mostar in Bosnia. This visceral act of ‘coming of age’ signalled to Williams that his educative ‘journey with them was over’. Williams reflects on his own practice of teaching Theatre Studies which was carved out by Heathcote’s models, especially that of ‘living through’ drama Model 1. He further studied her theory and practice during his MA programme at the University of Birmingham facilitated by David Davis. </w:t>
      </w:r>
      <w:r w:rsidRPr="001834E0">
        <w:rPr>
          <w:color w:val="26282A"/>
          <w:sz w:val="20"/>
          <w:szCs w:val="20"/>
          <w:bdr w:val="none" w:sz="0" w:space="0" w:color="auto" w:frame="1"/>
        </w:rPr>
        <w:t>Williams works through the art form of theatre to the point where his students preferred to ‘provoke and communicate’, ‘rather than be looked at’. </w:t>
      </w:r>
    </w:p>
    <w:p w:rsidR="009C0859" w:rsidRPr="001834E0" w:rsidRDefault="009C0859" w:rsidP="009C0859">
      <w:pPr>
        <w:pStyle w:val="xydpa88f8d89msonormal"/>
        <w:shd w:val="clear" w:color="auto" w:fill="FFFFFF"/>
        <w:spacing w:before="0" w:beforeAutospacing="0" w:after="0" w:afterAutospacing="0"/>
        <w:jc w:val="both"/>
        <w:rPr>
          <w:rFonts w:ascii="Verdana" w:hAnsi="Verdana"/>
          <w:color w:val="201F1E"/>
          <w:sz w:val="20"/>
          <w:szCs w:val="20"/>
        </w:rPr>
      </w:pPr>
    </w:p>
    <w:p w:rsidR="009C0859" w:rsidRDefault="009C0859" w:rsidP="009C0859">
      <w:pPr>
        <w:pStyle w:val="xydpa88f8d89msonormal"/>
        <w:shd w:val="clear" w:color="auto" w:fill="FFFFFF"/>
        <w:spacing w:before="0" w:beforeAutospacing="0" w:after="0" w:afterAutospacing="0"/>
        <w:jc w:val="both"/>
        <w:rPr>
          <w:color w:val="201F1E"/>
          <w:sz w:val="20"/>
          <w:szCs w:val="20"/>
          <w:bdr w:val="none" w:sz="0" w:space="0" w:color="auto" w:frame="1"/>
          <w:lang w:val="en-IE"/>
        </w:rPr>
      </w:pPr>
      <w:r w:rsidRPr="001834E0">
        <w:rPr>
          <w:color w:val="201F1E"/>
          <w:sz w:val="20"/>
          <w:szCs w:val="20"/>
          <w:bdr w:val="none" w:sz="0" w:space="0" w:color="auto" w:frame="1"/>
          <w:lang w:val="en-IE"/>
        </w:rPr>
        <w:t>The teacher-student dynamic is a central thread in his work with ‘man in a mess’, built on negotiation, the forging of bonds, responsiveness, the inversion of status. His work with students exploring the personal in the political is challenging, sometimes seen as contr</w:t>
      </w:r>
      <w:r>
        <w:rPr>
          <w:color w:val="201F1E"/>
          <w:sz w:val="20"/>
          <w:szCs w:val="20"/>
          <w:bdr w:val="none" w:sz="0" w:space="0" w:color="auto" w:frame="1"/>
          <w:lang w:val="en-IE"/>
        </w:rPr>
        <w:t>oversial and always contextualis</w:t>
      </w:r>
      <w:r w:rsidRPr="001834E0">
        <w:rPr>
          <w:color w:val="201F1E"/>
          <w:sz w:val="20"/>
          <w:szCs w:val="20"/>
          <w:bdr w:val="none" w:sz="0" w:space="0" w:color="auto" w:frame="1"/>
          <w:lang w:val="en-IE"/>
        </w:rPr>
        <w:t>ed in the contemporary. The ‘shaving of heads’ is a symbolic, political, theatrical act. Yet, as Williams writes</w:t>
      </w:r>
      <w:r>
        <w:rPr>
          <w:color w:val="201F1E"/>
          <w:sz w:val="20"/>
          <w:szCs w:val="20"/>
          <w:bdr w:val="none" w:sz="0" w:space="0" w:color="auto" w:frame="1"/>
          <w:lang w:val="en-IE"/>
        </w:rPr>
        <w:t>:</w:t>
      </w:r>
    </w:p>
    <w:p w:rsidR="009C0859" w:rsidRPr="001834E0" w:rsidRDefault="009C0859" w:rsidP="009C0859">
      <w:pPr>
        <w:pStyle w:val="xydpa88f8d89msonormal"/>
        <w:shd w:val="clear" w:color="auto" w:fill="FFFFFF"/>
        <w:spacing w:before="0" w:beforeAutospacing="0" w:after="0" w:afterAutospacing="0"/>
        <w:jc w:val="both"/>
        <w:rPr>
          <w:rFonts w:ascii="Verdana" w:hAnsi="Verdana"/>
          <w:color w:val="201F1E"/>
          <w:sz w:val="20"/>
          <w:szCs w:val="20"/>
        </w:rPr>
      </w:pPr>
    </w:p>
    <w:p w:rsidR="009C0859" w:rsidRPr="001834E0" w:rsidRDefault="009C0859" w:rsidP="009C0859">
      <w:pPr>
        <w:pStyle w:val="xydpa88f8d89msonormal"/>
        <w:shd w:val="clear" w:color="auto" w:fill="FFFFFF"/>
        <w:spacing w:before="0" w:beforeAutospacing="0" w:after="0" w:afterAutospacing="0"/>
        <w:ind w:left="720"/>
        <w:jc w:val="both"/>
        <w:rPr>
          <w:rFonts w:ascii="Verdana" w:hAnsi="Verdana"/>
          <w:color w:val="201F1E"/>
          <w:sz w:val="20"/>
          <w:szCs w:val="20"/>
        </w:rPr>
      </w:pPr>
      <w:r w:rsidRPr="001834E0">
        <w:rPr>
          <w:color w:val="201F1E"/>
          <w:sz w:val="20"/>
          <w:szCs w:val="20"/>
          <w:bdr w:val="none" w:sz="0" w:space="0" w:color="auto" w:frame="1"/>
          <w:lang w:val="en-IE"/>
        </w:rPr>
        <w:t>.. I never taught them to act… I am a teacher looking to make meaning and make sense</w:t>
      </w:r>
      <w:r>
        <w:rPr>
          <w:color w:val="201F1E"/>
          <w:sz w:val="20"/>
          <w:szCs w:val="20"/>
          <w:bdr w:val="none" w:sz="0" w:space="0" w:color="auto" w:frame="1"/>
          <w:lang w:val="en-IE"/>
        </w:rPr>
        <w:t xml:space="preserve"> of the world with young people</w:t>
      </w:r>
      <w:r w:rsidRPr="001834E0">
        <w:rPr>
          <w:color w:val="201F1E"/>
          <w:sz w:val="20"/>
          <w:szCs w:val="20"/>
          <w:bdr w:val="none" w:sz="0" w:space="0" w:color="auto" w:frame="1"/>
          <w:lang w:val="en-IE"/>
        </w:rPr>
        <w:t>.</w:t>
      </w:r>
    </w:p>
    <w:p w:rsidR="009C0859" w:rsidRPr="00865127" w:rsidRDefault="009C0859" w:rsidP="009C0859">
      <w:pPr>
        <w:pStyle w:val="NoSpacing"/>
        <w:jc w:val="both"/>
        <w:rPr>
          <w:rFonts w:ascii="Times New Roman" w:hAnsi="Times New Roman" w:cs="Times New Roman"/>
          <w:color w:val="0070C0"/>
          <w:sz w:val="20"/>
          <w:szCs w:val="20"/>
        </w:rPr>
      </w:pPr>
    </w:p>
    <w:p w:rsidR="009C0859" w:rsidRPr="00865127" w:rsidRDefault="009C0859" w:rsidP="009C0859">
      <w:pPr>
        <w:pStyle w:val="NoSpacing"/>
        <w:jc w:val="both"/>
        <w:rPr>
          <w:rFonts w:ascii="Times New Roman" w:hAnsi="Times New Roman" w:cs="Times New Roman"/>
          <w:sz w:val="20"/>
          <w:szCs w:val="20"/>
        </w:rPr>
      </w:pPr>
      <w:r w:rsidRPr="00865127">
        <w:rPr>
          <w:rFonts w:ascii="Times New Roman" w:hAnsi="Times New Roman" w:cs="Times New Roman"/>
          <w:b/>
          <w:sz w:val="20"/>
          <w:szCs w:val="20"/>
        </w:rPr>
        <w:t>Model 2</w:t>
      </w:r>
      <w:r w:rsidRPr="00865127">
        <w:rPr>
          <w:rFonts w:ascii="Times New Roman" w:hAnsi="Times New Roman" w:cs="Times New Roman"/>
          <w:sz w:val="20"/>
          <w:szCs w:val="20"/>
        </w:rPr>
        <w:t xml:space="preserve"> – Mantle of the Expert </w:t>
      </w:r>
    </w:p>
    <w:p w:rsidR="009C0859" w:rsidRPr="00865127" w:rsidRDefault="009C0859" w:rsidP="009C0859">
      <w:pPr>
        <w:pStyle w:val="NoSpacing"/>
        <w:jc w:val="both"/>
        <w:rPr>
          <w:rFonts w:ascii="Times New Roman" w:hAnsi="Times New Roman" w:cs="Times New Roman"/>
          <w:sz w:val="20"/>
          <w:szCs w:val="20"/>
        </w:rPr>
      </w:pPr>
    </w:p>
    <w:p w:rsidR="009C0859" w:rsidRDefault="009C0859" w:rsidP="009C0859">
      <w:pPr>
        <w:pStyle w:val="NoSpacing"/>
        <w:jc w:val="both"/>
        <w:rPr>
          <w:rFonts w:ascii="Times New Roman" w:hAnsi="Times New Roman" w:cs="Times New Roman"/>
          <w:sz w:val="20"/>
          <w:szCs w:val="20"/>
        </w:rPr>
      </w:pPr>
      <w:r w:rsidRPr="00865127">
        <w:rPr>
          <w:rFonts w:ascii="Times New Roman" w:hAnsi="Times New Roman" w:cs="Times New Roman"/>
          <w:sz w:val="20"/>
          <w:szCs w:val="20"/>
        </w:rPr>
        <w:t xml:space="preserve">In </w:t>
      </w:r>
      <w:r w:rsidRPr="00865127">
        <w:rPr>
          <w:rFonts w:ascii="Times New Roman" w:hAnsi="Times New Roman" w:cs="Times New Roman"/>
          <w:i/>
          <w:sz w:val="20"/>
          <w:szCs w:val="20"/>
        </w:rPr>
        <w:t xml:space="preserve">Why Can’t Every Teacher Use Mantle of the Expert?  </w:t>
      </w:r>
      <w:r w:rsidRPr="00865127">
        <w:rPr>
          <w:rFonts w:ascii="Times New Roman" w:hAnsi="Times New Roman" w:cs="Times New Roman"/>
          <w:sz w:val="20"/>
          <w:szCs w:val="20"/>
        </w:rPr>
        <w:t xml:space="preserve">Renee Downey shows us how she became a keen advocate of Mantle of the Expert.  From day two of her MA course through to reviewing the clear learning benefits for her own pupils some years later, Downey charts a learning journey for herself and her pupils that leaves us in no doubt </w:t>
      </w:r>
      <w:r w:rsidRPr="00865127">
        <w:rPr>
          <w:rFonts w:ascii="Times New Roman" w:hAnsi="Times New Roman" w:cs="Times New Roman"/>
          <w:sz w:val="20"/>
          <w:szCs w:val="20"/>
        </w:rPr>
        <w:lastRenderedPageBreak/>
        <w:t>of the educational force that is Mantle of the Expert.  She offers us detail of her first tentative steps with her class, as well as analytical illustration of its long-term impact, and concludes with an inspirational account of her next steps as she moves on to advocate Mantle of the Expert in a wider sphere. She concludes that</w:t>
      </w:r>
      <w:r>
        <w:rPr>
          <w:rFonts w:ascii="Times New Roman" w:hAnsi="Times New Roman" w:cs="Times New Roman"/>
          <w:sz w:val="20"/>
          <w:szCs w:val="20"/>
        </w:rPr>
        <w:t>:</w:t>
      </w:r>
    </w:p>
    <w:p w:rsidR="009C0859" w:rsidRPr="00865127" w:rsidRDefault="009C0859" w:rsidP="009C0859">
      <w:pPr>
        <w:pStyle w:val="NoSpacing"/>
        <w:jc w:val="both"/>
        <w:rPr>
          <w:rFonts w:ascii="Times New Roman" w:hAnsi="Times New Roman" w:cs="Times New Roman"/>
          <w:sz w:val="20"/>
          <w:szCs w:val="20"/>
        </w:rPr>
      </w:pPr>
    </w:p>
    <w:p w:rsidR="009C0859" w:rsidRPr="00F36654" w:rsidRDefault="009C0859" w:rsidP="009C0859">
      <w:pPr>
        <w:pStyle w:val="NoSpacing"/>
        <w:ind w:left="720" w:right="510"/>
        <w:jc w:val="both"/>
        <w:rPr>
          <w:rFonts w:ascii="Times New Roman" w:hAnsi="Times New Roman" w:cs="Times New Roman"/>
          <w:sz w:val="20"/>
          <w:szCs w:val="20"/>
        </w:rPr>
      </w:pPr>
      <w:r w:rsidRPr="00F36654">
        <w:rPr>
          <w:rFonts w:ascii="Times New Roman" w:hAnsi="Times New Roman" w:cs="Times New Roman"/>
          <w:sz w:val="20"/>
          <w:szCs w:val="20"/>
        </w:rPr>
        <w:t>I’m a different kind of teacher, a researcher and a member of a strong teaching community.</w:t>
      </w:r>
    </w:p>
    <w:p w:rsidR="009C0859" w:rsidRPr="00F36654" w:rsidRDefault="009C0859" w:rsidP="009C0859">
      <w:pPr>
        <w:pStyle w:val="NoSpacing"/>
        <w:jc w:val="both"/>
        <w:rPr>
          <w:rFonts w:ascii="Times New Roman" w:hAnsi="Times New Roman" w:cs="Times New Roman"/>
          <w:sz w:val="20"/>
          <w:szCs w:val="20"/>
        </w:rPr>
      </w:pPr>
    </w:p>
    <w:p w:rsidR="009C0859" w:rsidRDefault="009C0859" w:rsidP="009C0859">
      <w:pPr>
        <w:pStyle w:val="NoSpacing"/>
        <w:jc w:val="both"/>
        <w:rPr>
          <w:rFonts w:ascii="Times New Roman" w:hAnsi="Times New Roman" w:cs="Times New Roman"/>
          <w:sz w:val="20"/>
          <w:szCs w:val="20"/>
        </w:rPr>
      </w:pPr>
      <w:r w:rsidRPr="00865127">
        <w:rPr>
          <w:rFonts w:ascii="Times New Roman" w:hAnsi="Times New Roman" w:cs="Times New Roman"/>
          <w:sz w:val="20"/>
          <w:szCs w:val="20"/>
        </w:rPr>
        <w:t>As Heathcote was developing her models, she was also developing guidelines for classroom practice. One such set of guidelines is her conventions of dramatic action.</w:t>
      </w:r>
      <w:r>
        <w:rPr>
          <w:rFonts w:ascii="Times New Roman" w:hAnsi="Times New Roman" w:cs="Times New Roman"/>
          <w:sz w:val="20"/>
          <w:szCs w:val="20"/>
        </w:rPr>
        <w:t xml:space="preserve"> </w:t>
      </w:r>
      <w:r w:rsidRPr="00865127">
        <w:rPr>
          <w:rFonts w:ascii="Times New Roman" w:hAnsi="Times New Roman" w:cs="Times New Roman"/>
          <w:sz w:val="20"/>
          <w:szCs w:val="20"/>
        </w:rPr>
        <w:t xml:space="preserve">Tim Taylor’s </w:t>
      </w:r>
      <w:r w:rsidRPr="00865127">
        <w:rPr>
          <w:rFonts w:ascii="Times New Roman" w:hAnsi="Times New Roman" w:cs="Times New Roman"/>
          <w:i/>
          <w:sz w:val="20"/>
          <w:szCs w:val="20"/>
        </w:rPr>
        <w:t>The Conventions of Dramatic Action – A Guide</w:t>
      </w:r>
      <w:r w:rsidRPr="00865127">
        <w:rPr>
          <w:rFonts w:ascii="Times New Roman" w:hAnsi="Times New Roman" w:cs="Times New Roman"/>
          <w:sz w:val="20"/>
          <w:szCs w:val="20"/>
        </w:rPr>
        <w:t xml:space="preserve"> continues</w:t>
      </w:r>
      <w:r>
        <w:rPr>
          <w:rFonts w:ascii="Times New Roman" w:hAnsi="Times New Roman" w:cs="Times New Roman"/>
          <w:sz w:val="20"/>
          <w:szCs w:val="20"/>
        </w:rPr>
        <w:t xml:space="preserve"> to develop</w:t>
      </w:r>
      <w:r w:rsidRPr="00865127">
        <w:rPr>
          <w:rFonts w:ascii="Times New Roman" w:hAnsi="Times New Roman" w:cs="Times New Roman"/>
          <w:sz w:val="20"/>
          <w:szCs w:val="20"/>
        </w:rPr>
        <w:t xml:space="preserve"> his highly regarded craft and art of enabling and encouraging teachers in the application of Heathcote’s methodology to classroom practice.</w:t>
      </w:r>
      <w:r w:rsidRPr="00865127">
        <w:rPr>
          <w:rFonts w:ascii="Times New Roman" w:hAnsi="Times New Roman" w:cs="Times New Roman"/>
          <w:i/>
          <w:sz w:val="20"/>
          <w:szCs w:val="20"/>
        </w:rPr>
        <w:t xml:space="preserve"> </w:t>
      </w:r>
      <w:r w:rsidRPr="00865127">
        <w:rPr>
          <w:rFonts w:ascii="Times New Roman" w:hAnsi="Times New Roman" w:cs="Times New Roman"/>
          <w:sz w:val="20"/>
          <w:szCs w:val="20"/>
        </w:rPr>
        <w:t xml:space="preserve">Heathcote’s conventions were first published in 1982 in her article </w:t>
      </w:r>
      <w:r>
        <w:rPr>
          <w:rFonts w:ascii="Times New Roman" w:hAnsi="Times New Roman" w:cs="Times New Roman"/>
          <w:sz w:val="20"/>
          <w:szCs w:val="20"/>
        </w:rPr>
        <w:t>‘</w:t>
      </w:r>
      <w:r w:rsidRPr="00865127">
        <w:rPr>
          <w:rFonts w:ascii="Times New Roman" w:hAnsi="Times New Roman" w:cs="Times New Roman"/>
          <w:sz w:val="20"/>
          <w:szCs w:val="20"/>
        </w:rPr>
        <w:t>Signs (and Portents?)</w:t>
      </w:r>
      <w:r>
        <w:rPr>
          <w:rFonts w:ascii="Times New Roman" w:hAnsi="Times New Roman" w:cs="Times New Roman"/>
          <w:sz w:val="20"/>
          <w:szCs w:val="20"/>
        </w:rPr>
        <w:t>’</w:t>
      </w:r>
      <w:r w:rsidRPr="00865127">
        <w:rPr>
          <w:rStyle w:val="FootnoteReference"/>
          <w:rFonts w:ascii="Times New Roman" w:hAnsi="Times New Roman" w:cs="Times New Roman"/>
        </w:rPr>
        <w:footnoteReference w:id="3"/>
      </w:r>
      <w:r w:rsidRPr="00865127">
        <w:rPr>
          <w:rFonts w:ascii="Times New Roman" w:hAnsi="Times New Roman" w:cs="Times New Roman"/>
          <w:sz w:val="20"/>
          <w:szCs w:val="20"/>
        </w:rPr>
        <w:t xml:space="preserve"> and they have appeared in a variety of settings since then. Essentially</w:t>
      </w:r>
      <w:r>
        <w:rPr>
          <w:rFonts w:ascii="Times New Roman" w:hAnsi="Times New Roman" w:cs="Times New Roman"/>
          <w:sz w:val="20"/>
          <w:szCs w:val="20"/>
        </w:rPr>
        <w:t xml:space="preserve">, </w:t>
      </w:r>
      <w:r w:rsidRPr="00865127">
        <w:rPr>
          <w:rFonts w:ascii="Times New Roman" w:hAnsi="Times New Roman" w:cs="Times New Roman"/>
          <w:sz w:val="20"/>
          <w:szCs w:val="20"/>
        </w:rPr>
        <w:t>Heathcote listed the conventions, each with a definition underneath. What Taylor does, supported by Jim Kavanagh’s convivial, credible illustrations, is to provide expanded models for each convention. He offers user-friendly detail, clearly grounded in classroom practice. As Taylor says</w:t>
      </w:r>
      <w:r>
        <w:rPr>
          <w:rFonts w:ascii="Times New Roman" w:hAnsi="Times New Roman" w:cs="Times New Roman"/>
          <w:sz w:val="20"/>
          <w:szCs w:val="20"/>
        </w:rPr>
        <w:t>:</w:t>
      </w:r>
    </w:p>
    <w:p w:rsidR="009C0859" w:rsidRPr="00865127" w:rsidRDefault="009C0859" w:rsidP="009C0859">
      <w:pPr>
        <w:pStyle w:val="NoSpacing"/>
        <w:jc w:val="both"/>
        <w:rPr>
          <w:rFonts w:ascii="Times New Roman" w:hAnsi="Times New Roman" w:cs="Times New Roman"/>
          <w:sz w:val="20"/>
          <w:szCs w:val="20"/>
        </w:rPr>
      </w:pPr>
    </w:p>
    <w:p w:rsidR="009C0859" w:rsidRDefault="009C0859" w:rsidP="009C0859">
      <w:pPr>
        <w:pStyle w:val="NoSpacing"/>
        <w:ind w:left="720" w:right="510"/>
        <w:jc w:val="both"/>
        <w:rPr>
          <w:rFonts w:ascii="Times New Roman" w:hAnsi="Times New Roman" w:cs="Times New Roman"/>
          <w:sz w:val="20"/>
          <w:szCs w:val="20"/>
        </w:rPr>
      </w:pPr>
      <w:r w:rsidRPr="00F36654">
        <w:rPr>
          <w:rFonts w:ascii="Times New Roman" w:hAnsi="Times New Roman" w:cs="Times New Roman"/>
          <w:sz w:val="20"/>
          <w:szCs w:val="20"/>
        </w:rPr>
        <w:t>Learning to use (the conventions) takes time and practice, but just as it is the artist, not the colours or the brushes, who creates the art, so it is the user of the conventions who creates the dramatic action.</w:t>
      </w:r>
    </w:p>
    <w:p w:rsidR="009C0859" w:rsidRPr="00F36654" w:rsidRDefault="009C0859" w:rsidP="009C0859">
      <w:pPr>
        <w:pStyle w:val="NoSpacing"/>
        <w:ind w:left="720" w:right="510"/>
        <w:jc w:val="both"/>
        <w:rPr>
          <w:rFonts w:ascii="Times New Roman" w:hAnsi="Times New Roman" w:cs="Times New Roman"/>
          <w:sz w:val="20"/>
          <w:szCs w:val="20"/>
        </w:rPr>
      </w:pPr>
    </w:p>
    <w:p w:rsidR="009C0859" w:rsidRPr="00865127" w:rsidRDefault="009C0859" w:rsidP="009C0859">
      <w:pPr>
        <w:pStyle w:val="NoSpacing"/>
        <w:jc w:val="both"/>
        <w:rPr>
          <w:rFonts w:ascii="Times New Roman" w:hAnsi="Times New Roman" w:cs="Times New Roman"/>
          <w:sz w:val="20"/>
          <w:szCs w:val="20"/>
        </w:rPr>
      </w:pPr>
      <w:r w:rsidRPr="00865127">
        <w:rPr>
          <w:rFonts w:ascii="Times New Roman" w:hAnsi="Times New Roman" w:cs="Times New Roman"/>
          <w:sz w:val="20"/>
          <w:szCs w:val="20"/>
        </w:rPr>
        <w:t>Taylor’s guide shines with a human-centred method that challenges the child and locates the teacher as an artist in her classroom.</w:t>
      </w:r>
    </w:p>
    <w:p w:rsidR="009C0859" w:rsidRPr="00865127" w:rsidRDefault="009C0859" w:rsidP="009C0859">
      <w:pPr>
        <w:pStyle w:val="NoSpacing"/>
        <w:jc w:val="both"/>
        <w:rPr>
          <w:rFonts w:ascii="Times New Roman" w:hAnsi="Times New Roman" w:cs="Times New Roman"/>
          <w:sz w:val="20"/>
          <w:szCs w:val="20"/>
        </w:rPr>
      </w:pPr>
    </w:p>
    <w:p w:rsidR="009C0859" w:rsidRDefault="009C0859" w:rsidP="009C0859">
      <w:pPr>
        <w:jc w:val="both"/>
        <w:rPr>
          <w:rFonts w:cs="Times New Roman"/>
          <w:sz w:val="20"/>
          <w:szCs w:val="20"/>
        </w:rPr>
      </w:pPr>
      <w:r w:rsidRPr="00865127">
        <w:rPr>
          <w:rFonts w:cs="Times New Roman"/>
          <w:sz w:val="20"/>
          <w:szCs w:val="20"/>
        </w:rPr>
        <w:t xml:space="preserve">MaggieHulson’s </w:t>
      </w:r>
      <w:r w:rsidRPr="00865127">
        <w:rPr>
          <w:rFonts w:cs="Times New Roman"/>
          <w:i/>
          <w:sz w:val="20"/>
          <w:szCs w:val="20"/>
        </w:rPr>
        <w:t>Conventions of Dramatic Ac</w:t>
      </w:r>
      <w:r>
        <w:rPr>
          <w:rFonts w:cs="Times New Roman"/>
          <w:i/>
          <w:sz w:val="20"/>
          <w:szCs w:val="20"/>
        </w:rPr>
        <w:t xml:space="preserve">tion and Teacher Use of Sign </w:t>
      </w:r>
      <w:r w:rsidRPr="005F7F79">
        <w:rPr>
          <w:rFonts w:cs="Times New Roman"/>
          <w:sz w:val="20"/>
          <w:szCs w:val="20"/>
        </w:rPr>
        <w:t xml:space="preserve">is </w:t>
      </w:r>
      <w:r w:rsidRPr="00DD69E8">
        <w:rPr>
          <w:rFonts w:cs="Times New Roman"/>
          <w:sz w:val="20"/>
          <w:szCs w:val="20"/>
        </w:rPr>
        <w:t xml:space="preserve">a companion piece to Tim Taylor’s </w:t>
      </w:r>
      <w:r w:rsidRPr="00DD69E8">
        <w:rPr>
          <w:rFonts w:cs="Times New Roman"/>
          <w:i/>
          <w:sz w:val="20"/>
          <w:szCs w:val="20"/>
        </w:rPr>
        <w:t>The Conventions of Dramatic Action: A Guide.</w:t>
      </w:r>
      <w:r>
        <w:rPr>
          <w:rFonts w:cs="Times New Roman"/>
          <w:i/>
          <w:sz w:val="20"/>
          <w:szCs w:val="20"/>
        </w:rPr>
        <w:t xml:space="preserve"> </w:t>
      </w:r>
      <w:r>
        <w:rPr>
          <w:rFonts w:cs="Times New Roman"/>
          <w:sz w:val="20"/>
          <w:szCs w:val="20"/>
        </w:rPr>
        <w:t>Reading the two pieces side by side is an illuminating experience. Where Taylor has unpacked Heathcote’s conventions and focussed on what the students are doing, Hulson shifts the focus to the role of the teacher and her assistant. She uses more than eight concrete examples of what the adults in the room might be doing in order to facilitate the engagement and investment of the young people. She says of the Conventions that they can be ‘deceptively simple’ and argues for a sophisticated reading and application of them. They are not, ‘…goods that can easily be popped into a bag of teaching techniques…’ by time-poor teachers. By focussing on the teacher’s use of gesture, she highlights the richness and complexity of the process in which young people can bathe. She says that:</w:t>
      </w:r>
    </w:p>
    <w:p w:rsidR="009C0859" w:rsidRDefault="009C0859" w:rsidP="009C0859">
      <w:pPr>
        <w:jc w:val="both"/>
        <w:rPr>
          <w:rFonts w:cs="Times New Roman"/>
          <w:sz w:val="20"/>
          <w:szCs w:val="20"/>
        </w:rPr>
      </w:pPr>
    </w:p>
    <w:p w:rsidR="009C0859" w:rsidRDefault="009C0859" w:rsidP="009C0859">
      <w:pPr>
        <w:ind w:left="720" w:right="510"/>
        <w:jc w:val="both"/>
        <w:rPr>
          <w:rFonts w:cs="Times New Roman"/>
          <w:sz w:val="20"/>
          <w:szCs w:val="20"/>
        </w:rPr>
      </w:pPr>
      <w:r>
        <w:rPr>
          <w:rFonts w:cs="Times New Roman"/>
          <w:sz w:val="20"/>
          <w:szCs w:val="20"/>
        </w:rPr>
        <w:t>…</w:t>
      </w:r>
      <w:r w:rsidRPr="00DD69E8">
        <w:rPr>
          <w:rFonts w:cs="Times New Roman"/>
          <w:sz w:val="20"/>
          <w:szCs w:val="20"/>
        </w:rPr>
        <w:t>the aim is twofold:  to illustrate something of the pathway decisions a teacher might make in the moment to moment unfolding of the lesson; and to encourage the teacher to apply it.</w:t>
      </w:r>
    </w:p>
    <w:p w:rsidR="009C0859" w:rsidRDefault="009C0859" w:rsidP="009C0859">
      <w:pPr>
        <w:ind w:left="720" w:right="510"/>
        <w:jc w:val="both"/>
        <w:rPr>
          <w:rFonts w:cs="Times New Roman"/>
          <w:sz w:val="20"/>
          <w:szCs w:val="20"/>
        </w:rPr>
      </w:pPr>
    </w:p>
    <w:p w:rsidR="009C0859" w:rsidRPr="005F7F79" w:rsidRDefault="009C0859" w:rsidP="009C0859">
      <w:pPr>
        <w:ind w:right="85"/>
        <w:jc w:val="both"/>
        <w:rPr>
          <w:rFonts w:cs="Times New Roman"/>
          <w:color w:val="0070C0"/>
          <w:sz w:val="20"/>
          <w:szCs w:val="20"/>
        </w:rPr>
      </w:pPr>
      <w:r>
        <w:rPr>
          <w:rFonts w:cs="Times New Roman"/>
          <w:sz w:val="20"/>
          <w:szCs w:val="20"/>
        </w:rPr>
        <w:t>Deceptively simple in its own right, this article is a wonderful exploration born of decades of practice both in the classroom and in educating teachers by an exceptional practitioner.</w:t>
      </w:r>
    </w:p>
    <w:p w:rsidR="009C0859" w:rsidRPr="00865127" w:rsidRDefault="009C0859" w:rsidP="009C0859">
      <w:pPr>
        <w:pStyle w:val="NoSpacing"/>
        <w:jc w:val="both"/>
        <w:rPr>
          <w:rFonts w:ascii="Times New Roman" w:hAnsi="Times New Roman" w:cs="Times New Roman"/>
          <w:i/>
          <w:color w:val="0070C0"/>
          <w:sz w:val="20"/>
          <w:szCs w:val="20"/>
        </w:rPr>
      </w:pPr>
    </w:p>
    <w:p w:rsidR="009C0859" w:rsidRPr="00865127" w:rsidRDefault="009C0859" w:rsidP="009C0859">
      <w:pPr>
        <w:pStyle w:val="NoSpacing"/>
        <w:jc w:val="both"/>
        <w:rPr>
          <w:rFonts w:ascii="Times New Roman" w:hAnsi="Times New Roman" w:cs="Times New Roman"/>
          <w:sz w:val="20"/>
          <w:szCs w:val="20"/>
        </w:rPr>
      </w:pPr>
      <w:r w:rsidRPr="00865127">
        <w:rPr>
          <w:rFonts w:ascii="Times New Roman" w:hAnsi="Times New Roman" w:cs="Times New Roman"/>
          <w:b/>
          <w:sz w:val="20"/>
          <w:szCs w:val="20"/>
        </w:rPr>
        <w:t>Model 3</w:t>
      </w:r>
      <w:r w:rsidRPr="00865127">
        <w:rPr>
          <w:rFonts w:ascii="Times New Roman" w:hAnsi="Times New Roman" w:cs="Times New Roman"/>
          <w:sz w:val="20"/>
          <w:szCs w:val="20"/>
        </w:rPr>
        <w:t xml:space="preserve"> – Rolling Role </w:t>
      </w:r>
    </w:p>
    <w:p w:rsidR="009C0859" w:rsidRPr="00865127" w:rsidRDefault="009C0859" w:rsidP="009C0859">
      <w:pPr>
        <w:pStyle w:val="NoSpacing"/>
        <w:jc w:val="both"/>
        <w:rPr>
          <w:rFonts w:ascii="Times New Roman" w:hAnsi="Times New Roman" w:cs="Times New Roman"/>
          <w:color w:val="0070C0"/>
          <w:sz w:val="20"/>
          <w:szCs w:val="20"/>
        </w:rPr>
      </w:pPr>
    </w:p>
    <w:p w:rsidR="009C0859" w:rsidRDefault="009C0859" w:rsidP="009C0859">
      <w:pPr>
        <w:pStyle w:val="NoSpacing"/>
        <w:jc w:val="both"/>
        <w:rPr>
          <w:rFonts w:ascii="Times New Roman" w:hAnsi="Times New Roman" w:cs="Times New Roman"/>
          <w:sz w:val="20"/>
          <w:szCs w:val="20"/>
        </w:rPr>
      </w:pPr>
      <w:r w:rsidRPr="00865127">
        <w:rPr>
          <w:rFonts w:ascii="Times New Roman" w:hAnsi="Times New Roman" w:cs="Times New Roman"/>
          <w:sz w:val="20"/>
          <w:szCs w:val="20"/>
        </w:rPr>
        <w:t xml:space="preserve">Rolling Role is perhaps the least practised of the four contexts. Thus Claire Armstrong Mills’ article </w:t>
      </w:r>
      <w:r w:rsidRPr="00865127">
        <w:rPr>
          <w:rFonts w:ascii="Times New Roman" w:hAnsi="Times New Roman" w:cs="Times New Roman"/>
          <w:i/>
          <w:sz w:val="20"/>
          <w:szCs w:val="20"/>
        </w:rPr>
        <w:t xml:space="preserve">Rolling Role- A Perspective </w:t>
      </w:r>
      <w:r w:rsidRPr="00865127">
        <w:rPr>
          <w:rFonts w:ascii="Times New Roman" w:hAnsi="Times New Roman" w:cs="Times New Roman"/>
          <w:sz w:val="20"/>
          <w:szCs w:val="20"/>
        </w:rPr>
        <w:t>is a rare resource.</w:t>
      </w:r>
      <w:r>
        <w:rPr>
          <w:rFonts w:ascii="Times New Roman" w:hAnsi="Times New Roman" w:cs="Times New Roman"/>
          <w:sz w:val="20"/>
          <w:szCs w:val="20"/>
        </w:rPr>
        <w:t xml:space="preserve"> </w:t>
      </w:r>
      <w:r w:rsidRPr="00865127">
        <w:rPr>
          <w:rFonts w:ascii="Times New Roman" w:hAnsi="Times New Roman" w:cs="Times New Roman"/>
          <w:sz w:val="20"/>
          <w:szCs w:val="20"/>
        </w:rPr>
        <w:t>Armstrong Mills</w:t>
      </w:r>
      <w:r>
        <w:rPr>
          <w:rFonts w:ascii="Times New Roman" w:hAnsi="Times New Roman" w:cs="Times New Roman"/>
          <w:sz w:val="20"/>
          <w:szCs w:val="20"/>
        </w:rPr>
        <w:t>’</w:t>
      </w:r>
      <w:r w:rsidRPr="00865127">
        <w:rPr>
          <w:rFonts w:ascii="Times New Roman" w:hAnsi="Times New Roman" w:cs="Times New Roman"/>
          <w:sz w:val="20"/>
          <w:szCs w:val="20"/>
        </w:rPr>
        <w:t xml:space="preserve"> aim is t</w:t>
      </w:r>
      <w:r>
        <w:rPr>
          <w:rFonts w:ascii="Times New Roman" w:hAnsi="Times New Roman" w:cs="Times New Roman"/>
          <w:sz w:val="20"/>
          <w:szCs w:val="20"/>
        </w:rPr>
        <w:t>o encourage teachers</w:t>
      </w:r>
      <w:r w:rsidRPr="00865127">
        <w:rPr>
          <w:rFonts w:ascii="Times New Roman" w:hAnsi="Times New Roman" w:cs="Times New Roman"/>
          <w:sz w:val="20"/>
          <w:szCs w:val="20"/>
        </w:rPr>
        <w:t xml:space="preserve"> to use her examples for themselves. She elucidates something of the theory behind Model 3 as she recounts her extensive contact with Dorothy Heathcote, including work on videos. Quoting Heathcote</w:t>
      </w:r>
      <w:r>
        <w:rPr>
          <w:rFonts w:ascii="Times New Roman" w:hAnsi="Times New Roman" w:cs="Times New Roman"/>
          <w:sz w:val="20"/>
          <w:szCs w:val="20"/>
        </w:rPr>
        <w:t>,</w:t>
      </w:r>
      <w:r w:rsidRPr="00865127">
        <w:rPr>
          <w:rFonts w:ascii="Times New Roman" w:hAnsi="Times New Roman" w:cs="Times New Roman"/>
          <w:sz w:val="20"/>
          <w:szCs w:val="20"/>
        </w:rPr>
        <w:t xml:space="preserve"> Armstrong Mills explains that with Rolling Role</w:t>
      </w:r>
      <w:r>
        <w:rPr>
          <w:rFonts w:ascii="Times New Roman" w:hAnsi="Times New Roman" w:cs="Times New Roman"/>
          <w:sz w:val="20"/>
          <w:szCs w:val="20"/>
        </w:rPr>
        <w:t>:</w:t>
      </w:r>
    </w:p>
    <w:p w:rsidR="009C0859" w:rsidRPr="00865127" w:rsidRDefault="009C0859" w:rsidP="009C0859">
      <w:pPr>
        <w:pStyle w:val="NoSpacing"/>
        <w:jc w:val="both"/>
        <w:rPr>
          <w:rFonts w:ascii="Times New Roman" w:hAnsi="Times New Roman" w:cs="Times New Roman"/>
          <w:sz w:val="20"/>
          <w:szCs w:val="20"/>
        </w:rPr>
      </w:pPr>
    </w:p>
    <w:p w:rsidR="009C0859" w:rsidRDefault="009C0859" w:rsidP="009C0859">
      <w:pPr>
        <w:pStyle w:val="NoSpacing"/>
        <w:ind w:left="720" w:right="510"/>
        <w:jc w:val="both"/>
        <w:rPr>
          <w:rFonts w:ascii="Times New Roman" w:hAnsi="Times New Roman" w:cs="Times New Roman"/>
          <w:sz w:val="20"/>
          <w:szCs w:val="20"/>
        </w:rPr>
      </w:pPr>
      <w:r>
        <w:rPr>
          <w:rFonts w:ascii="Times New Roman" w:hAnsi="Times New Roman" w:cs="Times New Roman"/>
          <w:sz w:val="20"/>
          <w:szCs w:val="20"/>
        </w:rPr>
        <w:t>…</w:t>
      </w:r>
      <w:r w:rsidRPr="00F36654">
        <w:rPr>
          <w:rFonts w:ascii="Times New Roman" w:hAnsi="Times New Roman" w:cs="Times New Roman"/>
          <w:sz w:val="20"/>
          <w:szCs w:val="20"/>
        </w:rPr>
        <w:t>any number of members of staff can form teams of collaboration whilst teaching their own timetable and curriculum area.</w:t>
      </w:r>
    </w:p>
    <w:p w:rsidR="009C0859" w:rsidRPr="00F36654" w:rsidRDefault="009C0859" w:rsidP="009C0859">
      <w:pPr>
        <w:pStyle w:val="NoSpacing"/>
        <w:ind w:left="720" w:right="510"/>
        <w:jc w:val="both"/>
        <w:rPr>
          <w:rFonts w:ascii="Times New Roman" w:hAnsi="Times New Roman" w:cs="Times New Roman"/>
          <w:sz w:val="20"/>
          <w:szCs w:val="20"/>
        </w:rPr>
      </w:pPr>
    </w:p>
    <w:p w:rsidR="009C0859" w:rsidRPr="00F36654" w:rsidRDefault="009C0859" w:rsidP="009C0859">
      <w:pPr>
        <w:pStyle w:val="NoSpacing"/>
        <w:jc w:val="both"/>
        <w:rPr>
          <w:rFonts w:ascii="Times New Roman" w:hAnsi="Times New Roman" w:cs="Times New Roman"/>
          <w:sz w:val="20"/>
          <w:szCs w:val="20"/>
        </w:rPr>
      </w:pPr>
      <w:r w:rsidRPr="00865127">
        <w:rPr>
          <w:rFonts w:ascii="Times New Roman" w:hAnsi="Times New Roman" w:cs="Times New Roman"/>
          <w:sz w:val="20"/>
          <w:szCs w:val="20"/>
        </w:rPr>
        <w:t xml:space="preserve">As with other Models, the creation of a team and a context is central, with the careful formation of the </w:t>
      </w:r>
      <w:r w:rsidRPr="00865127">
        <w:rPr>
          <w:rFonts w:ascii="Times New Roman" w:hAnsi="Times New Roman" w:cs="Times New Roman"/>
          <w:i/>
          <w:sz w:val="20"/>
          <w:szCs w:val="20"/>
        </w:rPr>
        <w:t>human element of the community</w:t>
      </w:r>
      <w:r w:rsidRPr="00865127">
        <w:rPr>
          <w:rFonts w:ascii="Times New Roman" w:hAnsi="Times New Roman" w:cs="Times New Roman"/>
          <w:sz w:val="20"/>
          <w:szCs w:val="20"/>
        </w:rPr>
        <w:t xml:space="preserve"> being essential, and this article furnishes us with details of one particular project. Armstrong Mills explains how teachers from a range of specialist subjects were able to opt into the project and how some were involv</w:t>
      </w:r>
      <w:r>
        <w:rPr>
          <w:rFonts w:ascii="Times New Roman" w:hAnsi="Times New Roman" w:cs="Times New Roman"/>
          <w:sz w:val="20"/>
          <w:szCs w:val="20"/>
        </w:rPr>
        <w:t xml:space="preserve">ed in planning with Heathcote. </w:t>
      </w:r>
      <w:r w:rsidRPr="00865127">
        <w:rPr>
          <w:rFonts w:ascii="Times New Roman" w:hAnsi="Times New Roman" w:cs="Times New Roman"/>
          <w:sz w:val="20"/>
          <w:szCs w:val="20"/>
        </w:rPr>
        <w:t xml:space="preserve">She describes the underpinning method and illustrates some of the lessons that arose, at the same time paying attention to learning theory. The article concludes with an analysis of why Rolling Role isn’t more widely practised and </w:t>
      </w:r>
      <w:r>
        <w:rPr>
          <w:rFonts w:ascii="Times New Roman" w:hAnsi="Times New Roman" w:cs="Times New Roman"/>
          <w:sz w:val="20"/>
          <w:szCs w:val="20"/>
        </w:rPr>
        <w:t xml:space="preserve">urges teachers to ‘…try </w:t>
      </w:r>
      <w:r w:rsidRPr="00F36654">
        <w:rPr>
          <w:rFonts w:ascii="Times New Roman" w:hAnsi="Times New Roman" w:cs="Times New Roman"/>
          <w:sz w:val="20"/>
          <w:szCs w:val="20"/>
        </w:rPr>
        <w:t>‘standing on the shoulders of a giant.’ I did, and the perspective was remarkable</w:t>
      </w:r>
      <w:r>
        <w:rPr>
          <w:rFonts w:ascii="Times New Roman" w:hAnsi="Times New Roman" w:cs="Times New Roman"/>
          <w:sz w:val="20"/>
          <w:szCs w:val="20"/>
        </w:rPr>
        <w:t>’</w:t>
      </w:r>
      <w:r w:rsidRPr="00F36654">
        <w:rPr>
          <w:rFonts w:ascii="Times New Roman" w:hAnsi="Times New Roman" w:cs="Times New Roman"/>
          <w:sz w:val="20"/>
          <w:szCs w:val="20"/>
        </w:rPr>
        <w:t>.</w:t>
      </w:r>
    </w:p>
    <w:p w:rsidR="009C0859" w:rsidRPr="00865127" w:rsidRDefault="009C0859" w:rsidP="009C0859">
      <w:pPr>
        <w:pStyle w:val="NoSpacing"/>
        <w:jc w:val="both"/>
        <w:rPr>
          <w:rFonts w:ascii="Times New Roman" w:hAnsi="Times New Roman" w:cs="Times New Roman"/>
          <w:color w:val="0070C0"/>
          <w:sz w:val="20"/>
          <w:szCs w:val="20"/>
        </w:rPr>
      </w:pPr>
    </w:p>
    <w:p w:rsidR="009C0859" w:rsidRPr="00865127" w:rsidRDefault="009C0859" w:rsidP="009C0859">
      <w:pPr>
        <w:pStyle w:val="NoSpacing"/>
        <w:jc w:val="both"/>
        <w:rPr>
          <w:rFonts w:ascii="Times New Roman" w:hAnsi="Times New Roman" w:cs="Times New Roman"/>
          <w:sz w:val="20"/>
          <w:szCs w:val="20"/>
        </w:rPr>
      </w:pPr>
      <w:r w:rsidRPr="00865127">
        <w:rPr>
          <w:rFonts w:ascii="Times New Roman" w:hAnsi="Times New Roman" w:cs="Times New Roman"/>
          <w:b/>
          <w:sz w:val="20"/>
          <w:szCs w:val="20"/>
        </w:rPr>
        <w:t>Model 4</w:t>
      </w:r>
      <w:r w:rsidRPr="00865127">
        <w:rPr>
          <w:rFonts w:ascii="Times New Roman" w:hAnsi="Times New Roman" w:cs="Times New Roman"/>
          <w:sz w:val="20"/>
          <w:szCs w:val="20"/>
        </w:rPr>
        <w:t xml:space="preserve"> – The Commission Model</w:t>
      </w:r>
    </w:p>
    <w:p w:rsidR="009C0859" w:rsidRPr="00865127" w:rsidRDefault="009C0859" w:rsidP="009C0859">
      <w:pPr>
        <w:pStyle w:val="NoSpacing"/>
        <w:jc w:val="both"/>
        <w:rPr>
          <w:rFonts w:ascii="Times New Roman" w:hAnsi="Times New Roman" w:cs="Times New Roman"/>
          <w:sz w:val="20"/>
          <w:szCs w:val="20"/>
        </w:rPr>
      </w:pPr>
    </w:p>
    <w:p w:rsidR="009C0859" w:rsidRDefault="009C0859" w:rsidP="009C0859">
      <w:pPr>
        <w:pStyle w:val="NoSpacing"/>
        <w:jc w:val="both"/>
        <w:rPr>
          <w:rFonts w:ascii="Times New Roman" w:hAnsi="Times New Roman" w:cs="Times New Roman"/>
          <w:sz w:val="20"/>
          <w:szCs w:val="20"/>
        </w:rPr>
      </w:pPr>
      <w:r w:rsidRPr="00865127">
        <w:rPr>
          <w:rFonts w:ascii="Times New Roman" w:hAnsi="Times New Roman" w:cs="Times New Roman"/>
          <w:sz w:val="20"/>
          <w:szCs w:val="20"/>
        </w:rPr>
        <w:t xml:space="preserve">The classroom practice of Woodrow First School in Redditch is at the centre of Lisa Hinton’s </w:t>
      </w:r>
      <w:r w:rsidRPr="00865127">
        <w:rPr>
          <w:rFonts w:ascii="Times New Roman" w:hAnsi="Times New Roman" w:cs="Times New Roman"/>
          <w:i/>
          <w:sz w:val="20"/>
          <w:szCs w:val="20"/>
        </w:rPr>
        <w:t>The Commissioners</w:t>
      </w:r>
      <w:r w:rsidRPr="00865127">
        <w:rPr>
          <w:rFonts w:ascii="Times New Roman" w:hAnsi="Times New Roman" w:cs="Times New Roman"/>
          <w:sz w:val="20"/>
          <w:szCs w:val="20"/>
        </w:rPr>
        <w:t>.</w:t>
      </w:r>
      <w:r>
        <w:rPr>
          <w:rFonts w:ascii="Times New Roman" w:hAnsi="Times New Roman" w:cs="Times New Roman"/>
          <w:sz w:val="20"/>
          <w:szCs w:val="20"/>
        </w:rPr>
        <w:t xml:space="preserve"> Describing the development of M</w:t>
      </w:r>
      <w:r w:rsidRPr="00865127">
        <w:rPr>
          <w:rFonts w:ascii="Times New Roman" w:hAnsi="Times New Roman" w:cs="Times New Roman"/>
          <w:sz w:val="20"/>
          <w:szCs w:val="20"/>
        </w:rPr>
        <w:t xml:space="preserve">odel 4 work, Hinton coherently signposts the important differences between the Commission Model and that of the Mantle of the Expert, as well as the challenges faced by the teacher. She begins by describing how </w:t>
      </w:r>
      <w:r w:rsidRPr="00F36654">
        <w:rPr>
          <w:rFonts w:ascii="Times New Roman" w:hAnsi="Times New Roman" w:cs="Times New Roman"/>
          <w:sz w:val="20"/>
          <w:szCs w:val="20"/>
        </w:rPr>
        <w:t>Mantle of</w:t>
      </w:r>
      <w:r w:rsidRPr="00865127">
        <w:rPr>
          <w:rFonts w:ascii="Times New Roman" w:hAnsi="Times New Roman" w:cs="Times New Roman"/>
          <w:sz w:val="20"/>
          <w:szCs w:val="20"/>
        </w:rPr>
        <w:t xml:space="preserve"> the Expert</w:t>
      </w:r>
      <w:r w:rsidRPr="00865127">
        <w:rPr>
          <w:rFonts w:ascii="Times New Roman" w:hAnsi="Times New Roman" w:cs="Times New Roman"/>
          <w:i/>
          <w:sz w:val="20"/>
          <w:szCs w:val="20"/>
        </w:rPr>
        <w:t xml:space="preserve"> </w:t>
      </w:r>
      <w:r w:rsidRPr="00865127">
        <w:rPr>
          <w:rFonts w:ascii="Times New Roman" w:hAnsi="Times New Roman" w:cs="Times New Roman"/>
          <w:sz w:val="20"/>
          <w:szCs w:val="20"/>
        </w:rPr>
        <w:t>was introduced to</w:t>
      </w:r>
      <w:r>
        <w:rPr>
          <w:rFonts w:ascii="Times New Roman" w:hAnsi="Times New Roman" w:cs="Times New Roman"/>
          <w:sz w:val="20"/>
          <w:szCs w:val="20"/>
        </w:rPr>
        <w:t>,</w:t>
      </w:r>
      <w:r w:rsidRPr="00865127">
        <w:rPr>
          <w:rFonts w:ascii="Times New Roman" w:hAnsi="Times New Roman" w:cs="Times New Roman"/>
          <w:sz w:val="20"/>
          <w:szCs w:val="20"/>
        </w:rPr>
        <w:t xml:space="preserve"> and quickly embraced by</w:t>
      </w:r>
      <w:r>
        <w:rPr>
          <w:rFonts w:ascii="Times New Roman" w:hAnsi="Times New Roman" w:cs="Times New Roman"/>
          <w:sz w:val="20"/>
          <w:szCs w:val="20"/>
        </w:rPr>
        <w:t>,</w:t>
      </w:r>
      <w:r w:rsidRPr="00865127">
        <w:rPr>
          <w:rFonts w:ascii="Times New Roman" w:hAnsi="Times New Roman" w:cs="Times New Roman"/>
          <w:sz w:val="20"/>
          <w:szCs w:val="20"/>
        </w:rPr>
        <w:t xml:space="preserve"> the staff at Woodrow. It laid the ground for new partnerships, new endeavours and influences and Hinton goes on to explain how a Commission was developed between her class and the Black Country Museum.</w:t>
      </w:r>
      <w:r>
        <w:rPr>
          <w:rFonts w:ascii="Times New Roman" w:hAnsi="Times New Roman" w:cs="Times New Roman"/>
          <w:sz w:val="20"/>
          <w:szCs w:val="20"/>
        </w:rPr>
        <w:t xml:space="preserve"> </w:t>
      </w:r>
      <w:r w:rsidRPr="00865127">
        <w:rPr>
          <w:rFonts w:ascii="Times New Roman" w:hAnsi="Times New Roman" w:cs="Times New Roman"/>
          <w:sz w:val="20"/>
          <w:szCs w:val="20"/>
        </w:rPr>
        <w:t>One of the key differences between this and Mantle work is that Commission comes first, driving the curriculum choices and the design of tasks. This demands flexibility from the teacher as well as secure knowledge of the curriculum so that she can fit it to the commission. As she recounts how she guided her class through this challenging work at an especially challenging time, navigating the hiatus and stresses caused by the pandemic, Hinton analyses the advantages of this way of working and values the place of support structures, including Heathcote’s own strategies. She concludes that this way of working offers clear rewards and that</w:t>
      </w:r>
      <w:r>
        <w:rPr>
          <w:rFonts w:ascii="Times New Roman" w:hAnsi="Times New Roman" w:cs="Times New Roman"/>
          <w:sz w:val="20"/>
          <w:szCs w:val="20"/>
        </w:rPr>
        <w:t>:</w:t>
      </w:r>
      <w:r w:rsidRPr="00865127">
        <w:rPr>
          <w:rFonts w:ascii="Times New Roman" w:hAnsi="Times New Roman" w:cs="Times New Roman"/>
          <w:sz w:val="20"/>
          <w:szCs w:val="20"/>
        </w:rPr>
        <w:t xml:space="preserve"> </w:t>
      </w:r>
    </w:p>
    <w:p w:rsidR="009C0859" w:rsidRPr="00865127" w:rsidRDefault="009C0859" w:rsidP="009C0859">
      <w:pPr>
        <w:pStyle w:val="NoSpacing"/>
        <w:jc w:val="both"/>
        <w:rPr>
          <w:rFonts w:ascii="Times New Roman" w:hAnsi="Times New Roman" w:cs="Times New Roman"/>
          <w:sz w:val="20"/>
          <w:szCs w:val="20"/>
        </w:rPr>
      </w:pPr>
    </w:p>
    <w:p w:rsidR="009C0859" w:rsidRDefault="009C0859" w:rsidP="009C0859">
      <w:pPr>
        <w:pStyle w:val="NoSpacing"/>
        <w:ind w:left="720" w:right="510"/>
        <w:jc w:val="both"/>
        <w:rPr>
          <w:rFonts w:ascii="Times New Roman" w:hAnsi="Times New Roman" w:cs="Times New Roman"/>
          <w:sz w:val="20"/>
          <w:szCs w:val="20"/>
        </w:rPr>
      </w:pPr>
      <w:r w:rsidRPr="00F36654">
        <w:rPr>
          <w:rFonts w:ascii="Times New Roman" w:hAnsi="Times New Roman" w:cs="Times New Roman"/>
          <w:sz w:val="20"/>
          <w:szCs w:val="20"/>
        </w:rPr>
        <w:t>Dorothy Heathcote’s dream of an educational method that places the child at the centre could very well be realised for those children who have teachers willing to hand over some power and take a risk!</w:t>
      </w:r>
    </w:p>
    <w:p w:rsidR="009C0859" w:rsidRPr="00F36654" w:rsidRDefault="009C0859" w:rsidP="009C0859">
      <w:pPr>
        <w:pStyle w:val="NoSpacing"/>
        <w:ind w:left="720" w:right="510"/>
        <w:jc w:val="both"/>
        <w:rPr>
          <w:rFonts w:ascii="Times New Roman" w:hAnsi="Times New Roman" w:cs="Times New Roman"/>
          <w:sz w:val="20"/>
          <w:szCs w:val="20"/>
        </w:rPr>
      </w:pPr>
    </w:p>
    <w:p w:rsidR="009C0859" w:rsidRPr="00865127" w:rsidRDefault="009C0859" w:rsidP="009C0859">
      <w:pPr>
        <w:pStyle w:val="NoSpacing"/>
        <w:jc w:val="both"/>
        <w:rPr>
          <w:rFonts w:ascii="Times New Roman" w:hAnsi="Times New Roman" w:cs="Times New Roman"/>
          <w:sz w:val="20"/>
          <w:szCs w:val="20"/>
        </w:rPr>
      </w:pPr>
      <w:r w:rsidRPr="00865127">
        <w:rPr>
          <w:rFonts w:ascii="Times New Roman" w:hAnsi="Times New Roman" w:cs="Times New Roman"/>
          <w:sz w:val="20"/>
          <w:szCs w:val="20"/>
        </w:rPr>
        <w:t>Currently</w:t>
      </w:r>
      <w:r>
        <w:rPr>
          <w:rFonts w:ascii="Times New Roman" w:hAnsi="Times New Roman" w:cs="Times New Roman"/>
          <w:sz w:val="20"/>
          <w:szCs w:val="20"/>
        </w:rPr>
        <w:t>,</w:t>
      </w:r>
      <w:r w:rsidRPr="00865127">
        <w:rPr>
          <w:rFonts w:ascii="Times New Roman" w:hAnsi="Times New Roman" w:cs="Times New Roman"/>
          <w:sz w:val="20"/>
          <w:szCs w:val="20"/>
        </w:rPr>
        <w:t xml:space="preserve"> Woodrow First School is running a Rolling Role. It will be fascinating to see how this progresses.</w:t>
      </w:r>
    </w:p>
    <w:p w:rsidR="009C0859" w:rsidRPr="00865127" w:rsidRDefault="009C0859" w:rsidP="009C0859">
      <w:pPr>
        <w:pStyle w:val="NoSpacing"/>
        <w:jc w:val="both"/>
        <w:rPr>
          <w:rFonts w:ascii="Times New Roman" w:hAnsi="Times New Roman" w:cs="Times New Roman"/>
          <w:sz w:val="20"/>
          <w:szCs w:val="20"/>
        </w:rPr>
      </w:pPr>
    </w:p>
    <w:p w:rsidR="009C0859" w:rsidRPr="00865127" w:rsidRDefault="009C0859" w:rsidP="009C0859">
      <w:pPr>
        <w:pStyle w:val="NoSpacing"/>
        <w:jc w:val="both"/>
        <w:rPr>
          <w:rFonts w:ascii="Times New Roman" w:hAnsi="Times New Roman" w:cs="Times New Roman"/>
          <w:i/>
          <w:color w:val="0070C0"/>
          <w:sz w:val="20"/>
          <w:szCs w:val="20"/>
        </w:rPr>
      </w:pPr>
      <w:r w:rsidRPr="00865127">
        <w:rPr>
          <w:rFonts w:ascii="Times New Roman" w:hAnsi="Times New Roman" w:cs="Times New Roman"/>
          <w:i/>
          <w:sz w:val="20"/>
          <w:szCs w:val="20"/>
        </w:rPr>
        <w:t xml:space="preserve">The Dorothy Heathcote Archive </w:t>
      </w:r>
      <w:r>
        <w:rPr>
          <w:rFonts w:ascii="Times New Roman" w:hAnsi="Times New Roman" w:cs="Times New Roman"/>
          <w:sz w:val="20"/>
          <w:szCs w:val="20"/>
        </w:rPr>
        <w:t>by</w:t>
      </w:r>
      <w:r w:rsidRPr="00865127">
        <w:rPr>
          <w:rFonts w:ascii="Times New Roman" w:hAnsi="Times New Roman" w:cs="Times New Roman"/>
          <w:i/>
          <w:sz w:val="20"/>
          <w:szCs w:val="20"/>
        </w:rPr>
        <w:t xml:space="preserve"> </w:t>
      </w:r>
      <w:r w:rsidRPr="00865127">
        <w:rPr>
          <w:rFonts w:ascii="Times New Roman" w:eastAsia="Times New Roman" w:hAnsi="Times New Roman" w:cs="Times New Roman"/>
          <w:color w:val="222222"/>
          <w:sz w:val="20"/>
          <w:szCs w:val="20"/>
          <w:lang w:eastAsia="en-GB"/>
        </w:rPr>
        <w:t>David Allen, Sandra Hesten and Stig A. Eriksson</w:t>
      </w:r>
      <w:r>
        <w:rPr>
          <w:rFonts w:ascii="Times New Roman" w:eastAsia="Times New Roman" w:hAnsi="Times New Roman" w:cs="Times New Roman"/>
          <w:color w:val="222222"/>
          <w:sz w:val="20"/>
          <w:szCs w:val="20"/>
          <w:lang w:eastAsia="en-GB"/>
        </w:rPr>
        <w:t xml:space="preserve">, is both a fascinating history lesson and a call to action to preserve and disseminate the work of Dorothy Heathcote. In it, the authors describe the genesis of the Archive, Heathcote’s own desire to have the resources made as widely available as possible and the current challenge to find a permanent, secure home for posterity. There are a number of tantalising pearls that reveal glimpses of the working of Heathcote’s incredibly fertile mind. The call for the creation of an International Archive Committee at the </w:t>
      </w:r>
      <w:r w:rsidRPr="001829D2">
        <w:rPr>
          <w:rFonts w:ascii="Times New Roman" w:eastAsia="Times New Roman" w:hAnsi="Times New Roman" w:cs="Times New Roman"/>
          <w:i/>
          <w:color w:val="222222"/>
          <w:sz w:val="20"/>
          <w:szCs w:val="20"/>
          <w:lang w:eastAsia="en-GB"/>
        </w:rPr>
        <w:t>Dorothy Heathcote Now</w:t>
      </w:r>
      <w:r>
        <w:rPr>
          <w:rFonts w:ascii="Times New Roman" w:eastAsia="Times New Roman" w:hAnsi="Times New Roman" w:cs="Times New Roman"/>
          <w:color w:val="222222"/>
          <w:sz w:val="20"/>
          <w:szCs w:val="20"/>
          <w:lang w:eastAsia="en-GB"/>
        </w:rPr>
        <w:t xml:space="preserve"> Conference is undeniable. </w:t>
      </w:r>
    </w:p>
    <w:p w:rsidR="009C0859" w:rsidRPr="00865127" w:rsidRDefault="009C0859" w:rsidP="009C0859">
      <w:pPr>
        <w:pStyle w:val="NoSpacing"/>
        <w:jc w:val="both"/>
        <w:rPr>
          <w:rFonts w:ascii="Times New Roman" w:hAnsi="Times New Roman" w:cs="Times New Roman"/>
          <w:sz w:val="20"/>
          <w:szCs w:val="20"/>
        </w:rPr>
      </w:pPr>
    </w:p>
    <w:p w:rsidR="009C0859" w:rsidRPr="00865127" w:rsidRDefault="009C0859" w:rsidP="009C0859">
      <w:pPr>
        <w:pStyle w:val="NoSpacing"/>
        <w:jc w:val="both"/>
        <w:rPr>
          <w:rFonts w:ascii="Times New Roman" w:eastAsia="Times New Roman" w:hAnsi="Times New Roman" w:cs="Times New Roman"/>
          <w:spacing w:val="8"/>
          <w:kern w:val="36"/>
          <w:sz w:val="20"/>
          <w:szCs w:val="20"/>
          <w:lang w:eastAsia="en-GB"/>
        </w:rPr>
      </w:pPr>
      <w:r w:rsidRPr="00865127">
        <w:rPr>
          <w:rFonts w:ascii="Times New Roman" w:hAnsi="Times New Roman" w:cs="Times New Roman"/>
          <w:sz w:val="20"/>
          <w:szCs w:val="20"/>
        </w:rPr>
        <w:t xml:space="preserve">Looking at </w:t>
      </w:r>
      <w:r>
        <w:rPr>
          <w:rFonts w:ascii="Times New Roman" w:hAnsi="Times New Roman" w:cs="Times New Roman"/>
          <w:i/>
          <w:sz w:val="20"/>
          <w:szCs w:val="20"/>
        </w:rPr>
        <w:t xml:space="preserve">Contexts for Active Learning. </w:t>
      </w:r>
      <w:r w:rsidRPr="00865127">
        <w:rPr>
          <w:rFonts w:ascii="Times New Roman" w:hAnsi="Times New Roman" w:cs="Times New Roman"/>
          <w:i/>
          <w:sz w:val="20"/>
          <w:szCs w:val="20"/>
        </w:rPr>
        <w:t xml:space="preserve">Four models to forge links between schooling and society </w:t>
      </w:r>
      <w:r w:rsidRPr="00865127">
        <w:rPr>
          <w:rFonts w:ascii="Times New Roman" w:hAnsi="Times New Roman" w:cs="Times New Roman"/>
          <w:sz w:val="20"/>
          <w:szCs w:val="20"/>
        </w:rPr>
        <w:t xml:space="preserve">again, in these times reminds us afresh of the detailed care Heathcote took over developing her method and making it transparent. It is fascinating to see her unpick her </w:t>
      </w:r>
      <w:r>
        <w:rPr>
          <w:rFonts w:ascii="Times New Roman" w:hAnsi="Times New Roman" w:cs="Times New Roman"/>
          <w:sz w:val="20"/>
          <w:szCs w:val="20"/>
        </w:rPr>
        <w:t>‘Eurekas’</w:t>
      </w:r>
      <w:r w:rsidRPr="00865127">
        <w:rPr>
          <w:rFonts w:ascii="Times New Roman" w:hAnsi="Times New Roman" w:cs="Times New Roman"/>
          <w:sz w:val="20"/>
          <w:szCs w:val="20"/>
        </w:rPr>
        <w:t xml:space="preserve"> as she moves through her four models of teacher/student activity, getting to the</w:t>
      </w:r>
      <w:r>
        <w:rPr>
          <w:rFonts w:ascii="Times New Roman" w:hAnsi="Times New Roman" w:cs="Times New Roman"/>
          <w:sz w:val="20"/>
          <w:szCs w:val="20"/>
        </w:rPr>
        <w:t xml:space="preserve"> heart of the problem - </w:t>
      </w:r>
      <w:r w:rsidRPr="00865127">
        <w:rPr>
          <w:rFonts w:ascii="Times New Roman" w:hAnsi="Times New Roman" w:cs="Times New Roman"/>
          <w:sz w:val="20"/>
          <w:szCs w:val="20"/>
        </w:rPr>
        <w:t>how to temper the substance of the interactions between</w:t>
      </w:r>
      <w:r>
        <w:rPr>
          <w:rFonts w:ascii="Times New Roman" w:hAnsi="Times New Roman" w:cs="Times New Roman"/>
          <w:sz w:val="20"/>
          <w:szCs w:val="20"/>
        </w:rPr>
        <w:t xml:space="preserve"> ‘</w:t>
      </w:r>
      <w:r w:rsidRPr="00F36654">
        <w:rPr>
          <w:rFonts w:ascii="Times New Roman" w:hAnsi="Times New Roman" w:cs="Times New Roman"/>
          <w:sz w:val="20"/>
          <w:szCs w:val="20"/>
        </w:rPr>
        <w:t>…the teacher and the social an</w:t>
      </w:r>
      <w:r>
        <w:rPr>
          <w:rFonts w:ascii="Times New Roman" w:hAnsi="Times New Roman" w:cs="Times New Roman"/>
          <w:sz w:val="20"/>
          <w:szCs w:val="20"/>
        </w:rPr>
        <w:t xml:space="preserve">d academic nature of the class’. </w:t>
      </w:r>
      <w:r w:rsidRPr="00865127">
        <w:rPr>
          <w:rFonts w:ascii="Times New Roman" w:hAnsi="Times New Roman" w:cs="Times New Roman"/>
          <w:sz w:val="20"/>
          <w:szCs w:val="20"/>
        </w:rPr>
        <w:t>For example, there is a clear development from</w:t>
      </w:r>
      <w:r>
        <w:rPr>
          <w:rFonts w:ascii="Times New Roman" w:hAnsi="Times New Roman" w:cs="Times New Roman"/>
          <w:sz w:val="20"/>
          <w:szCs w:val="20"/>
        </w:rPr>
        <w:t>, ‘</w:t>
      </w:r>
      <w:r w:rsidRPr="00315521">
        <w:rPr>
          <w:rFonts w:ascii="Times New Roman" w:hAnsi="Times New Roman" w:cs="Times New Roman"/>
          <w:sz w:val="20"/>
          <w:szCs w:val="20"/>
        </w:rPr>
        <w:t>I knew to develop a group point of view not cast children into</w:t>
      </w:r>
      <w:r>
        <w:rPr>
          <w:rFonts w:ascii="Times New Roman" w:hAnsi="Times New Roman" w:cs="Times New Roman"/>
          <w:sz w:val="20"/>
          <w:szCs w:val="20"/>
        </w:rPr>
        <w:t xml:space="preserve"> parts as actors are organise’ at the end of M</w:t>
      </w:r>
      <w:r w:rsidRPr="00865127">
        <w:rPr>
          <w:rFonts w:ascii="Times New Roman" w:hAnsi="Times New Roman" w:cs="Times New Roman"/>
          <w:sz w:val="20"/>
          <w:szCs w:val="20"/>
        </w:rPr>
        <w:t>odel 1 to</w:t>
      </w:r>
      <w:r>
        <w:rPr>
          <w:rFonts w:ascii="Times New Roman" w:hAnsi="Times New Roman" w:cs="Times New Roman"/>
          <w:sz w:val="20"/>
          <w:szCs w:val="20"/>
        </w:rPr>
        <w:t>,</w:t>
      </w:r>
      <w:r w:rsidRPr="00865127">
        <w:rPr>
          <w:rFonts w:ascii="Times New Roman" w:hAnsi="Times New Roman" w:cs="Times New Roman"/>
          <w:sz w:val="20"/>
          <w:szCs w:val="20"/>
        </w:rPr>
        <w:t xml:space="preserve"> </w:t>
      </w:r>
      <w:r>
        <w:rPr>
          <w:rFonts w:ascii="Times New Roman" w:hAnsi="Times New Roman" w:cs="Times New Roman"/>
          <w:sz w:val="20"/>
          <w:szCs w:val="20"/>
        </w:rPr>
        <w:t>‘…</w:t>
      </w:r>
      <w:r w:rsidRPr="00315521">
        <w:rPr>
          <w:rFonts w:ascii="Times New Roman" w:hAnsi="Times New Roman" w:cs="Times New Roman"/>
          <w:sz w:val="20"/>
          <w:szCs w:val="20"/>
        </w:rPr>
        <w:t>everyone shares in the tasks which mus</w:t>
      </w:r>
      <w:r>
        <w:rPr>
          <w:rFonts w:ascii="Times New Roman" w:hAnsi="Times New Roman" w:cs="Times New Roman"/>
          <w:sz w:val="20"/>
          <w:szCs w:val="20"/>
        </w:rPr>
        <w:t>t be accomplished for the client’ in M</w:t>
      </w:r>
      <w:r w:rsidRPr="00865127">
        <w:rPr>
          <w:rFonts w:ascii="Times New Roman" w:hAnsi="Times New Roman" w:cs="Times New Roman"/>
          <w:sz w:val="20"/>
          <w:szCs w:val="20"/>
        </w:rPr>
        <w:t>odel 2</w:t>
      </w:r>
      <w:r w:rsidRPr="00865127">
        <w:rPr>
          <w:rFonts w:ascii="Times New Roman" w:hAnsi="Times New Roman" w:cs="Times New Roman"/>
          <w:i/>
          <w:sz w:val="20"/>
          <w:szCs w:val="20"/>
        </w:rPr>
        <w:t>.</w:t>
      </w:r>
      <w:r w:rsidRPr="00865127">
        <w:rPr>
          <w:rFonts w:ascii="Times New Roman" w:hAnsi="Times New Roman" w:cs="Times New Roman"/>
          <w:sz w:val="20"/>
          <w:szCs w:val="20"/>
        </w:rPr>
        <w:t xml:space="preserve"> As part of our commitment to broadcasting Heathcote’s work, we offer you this précis. </w:t>
      </w:r>
      <w:r w:rsidRPr="00865127">
        <w:rPr>
          <w:rFonts w:ascii="Times New Roman" w:hAnsi="Times New Roman" w:cs="Times New Roman"/>
          <w:color w:val="000000"/>
          <w:sz w:val="20"/>
          <w:szCs w:val="20"/>
        </w:rPr>
        <w:t xml:space="preserve">Encapsulating the </w:t>
      </w:r>
      <w:r>
        <w:rPr>
          <w:rFonts w:ascii="Times New Roman" w:hAnsi="Times New Roman" w:cs="Times New Roman"/>
          <w:color w:val="000000"/>
          <w:sz w:val="20"/>
          <w:szCs w:val="20"/>
        </w:rPr>
        <w:t>four models, it</w:t>
      </w:r>
      <w:r w:rsidRPr="00865127">
        <w:rPr>
          <w:rFonts w:ascii="Times New Roman" w:hAnsi="Times New Roman" w:cs="Times New Roman"/>
          <w:color w:val="000000"/>
          <w:sz w:val="20"/>
          <w:szCs w:val="20"/>
        </w:rPr>
        <w:t xml:space="preserve"> delineates the function of </w:t>
      </w:r>
      <w:r>
        <w:rPr>
          <w:rFonts w:ascii="Times New Roman" w:hAnsi="Times New Roman" w:cs="Times New Roman"/>
          <w:color w:val="000000"/>
          <w:sz w:val="20"/>
          <w:szCs w:val="20"/>
        </w:rPr>
        <w:t>‘</w:t>
      </w:r>
      <w:r w:rsidRPr="00865127">
        <w:rPr>
          <w:rFonts w:ascii="Times New Roman" w:hAnsi="Times New Roman" w:cs="Times New Roman"/>
          <w:color w:val="000000"/>
          <w:sz w:val="20"/>
          <w:szCs w:val="20"/>
        </w:rPr>
        <w:t>role</w:t>
      </w:r>
      <w:r>
        <w:rPr>
          <w:rFonts w:ascii="Times New Roman" w:hAnsi="Times New Roman" w:cs="Times New Roman"/>
          <w:color w:val="000000"/>
          <w:sz w:val="20"/>
          <w:szCs w:val="20"/>
        </w:rPr>
        <w:t>’</w:t>
      </w:r>
      <w:r w:rsidRPr="00865127">
        <w:rPr>
          <w:rFonts w:ascii="Times New Roman" w:hAnsi="Times New Roman" w:cs="Times New Roman"/>
          <w:color w:val="000000"/>
          <w:sz w:val="20"/>
          <w:szCs w:val="20"/>
        </w:rPr>
        <w:t xml:space="preserve"> in a dramatic fiction and the importance of the group perspective of </w:t>
      </w:r>
      <w:r>
        <w:rPr>
          <w:rFonts w:ascii="Times New Roman" w:hAnsi="Times New Roman" w:cs="Times New Roman"/>
          <w:color w:val="000000"/>
          <w:sz w:val="20"/>
          <w:szCs w:val="20"/>
        </w:rPr>
        <w:t xml:space="preserve">the </w:t>
      </w:r>
      <w:r w:rsidRPr="00865127">
        <w:rPr>
          <w:rFonts w:ascii="Times New Roman" w:hAnsi="Times New Roman" w:cs="Times New Roman"/>
          <w:color w:val="000000"/>
          <w:sz w:val="20"/>
          <w:szCs w:val="20"/>
        </w:rPr>
        <w:t>participant</w:t>
      </w:r>
      <w:r>
        <w:rPr>
          <w:rFonts w:ascii="Times New Roman" w:hAnsi="Times New Roman" w:cs="Times New Roman"/>
          <w:color w:val="000000"/>
          <w:sz w:val="20"/>
          <w:szCs w:val="20"/>
        </w:rPr>
        <w:t xml:space="preserve">s - </w:t>
      </w:r>
      <w:r w:rsidRPr="00865127">
        <w:rPr>
          <w:rFonts w:ascii="Times New Roman" w:hAnsi="Times New Roman" w:cs="Times New Roman"/>
          <w:color w:val="000000"/>
          <w:sz w:val="20"/>
          <w:szCs w:val="20"/>
        </w:rPr>
        <w:t>an extension of the learning potential of working ‘in role’ through ‘Mantle of the Expert’</w:t>
      </w:r>
      <w:r>
        <w:rPr>
          <w:rFonts w:ascii="Times New Roman" w:hAnsi="Times New Roman" w:cs="Times New Roman"/>
          <w:color w:val="000000"/>
          <w:sz w:val="20"/>
          <w:szCs w:val="20"/>
        </w:rPr>
        <w:t>.</w:t>
      </w:r>
    </w:p>
    <w:p w:rsidR="009C0859" w:rsidRDefault="009C0859" w:rsidP="009C0859">
      <w:pPr>
        <w:pStyle w:val="NormalWeb"/>
        <w:spacing w:before="0" w:beforeAutospacing="0" w:after="0" w:afterAutospacing="0"/>
        <w:jc w:val="center"/>
        <w:rPr>
          <w:b/>
          <w:color w:val="212121"/>
        </w:rPr>
        <w:sectPr w:rsidR="009C0859">
          <w:footnotePr>
            <w:numRestart w:val="eachSect"/>
          </w:footnotePr>
          <w:pgSz w:w="8391" w:h="11906" w:code="11"/>
          <w:pgMar w:top="680" w:right="680" w:bottom="851" w:left="680" w:header="709" w:footer="709" w:gutter="0"/>
          <w:cols w:space="708"/>
          <w:docGrid w:linePitch="360"/>
        </w:sectPr>
      </w:pPr>
    </w:p>
    <w:p w:rsidR="009C0859" w:rsidRPr="006B5CA1" w:rsidRDefault="009C0859" w:rsidP="009C0859">
      <w:pPr>
        <w:pStyle w:val="Title"/>
        <w:jc w:val="center"/>
        <w:rPr>
          <w:rFonts w:ascii="Times New Roman" w:hAnsi="Times New Roman" w:cs="Times New Roman"/>
          <w:b/>
          <w:bCs/>
          <w:sz w:val="24"/>
          <w:szCs w:val="24"/>
        </w:rPr>
      </w:pPr>
      <w:r w:rsidRPr="006B5CA1">
        <w:rPr>
          <w:rFonts w:ascii="Times New Roman" w:hAnsi="Times New Roman" w:cs="Times New Roman"/>
          <w:b/>
          <w:sz w:val="24"/>
          <w:szCs w:val="24"/>
        </w:rPr>
        <w:lastRenderedPageBreak/>
        <w:t xml:space="preserve">Chair’s Report: </w:t>
      </w:r>
      <w:r>
        <w:rPr>
          <w:rFonts w:ascii="Times New Roman" w:hAnsi="Times New Roman" w:cs="Times New Roman"/>
          <w:b/>
          <w:bCs/>
          <w:sz w:val="24"/>
          <w:szCs w:val="24"/>
        </w:rPr>
        <w:t>A War of Attrition</w:t>
      </w:r>
    </w:p>
    <w:p w:rsidR="009C0859" w:rsidRPr="006B5CA1" w:rsidRDefault="009C0859" w:rsidP="009C0859">
      <w:pPr>
        <w:jc w:val="center"/>
        <w:rPr>
          <w:rFonts w:cs="Times New Roman"/>
          <w:sz w:val="20"/>
          <w:szCs w:val="20"/>
        </w:rPr>
      </w:pPr>
      <w:r w:rsidRPr="006B5CA1">
        <w:rPr>
          <w:rFonts w:cs="Times New Roman"/>
          <w:sz w:val="20"/>
          <w:szCs w:val="20"/>
        </w:rPr>
        <w:t>by</w:t>
      </w:r>
    </w:p>
    <w:p w:rsidR="009C0859" w:rsidRPr="006B5CA1" w:rsidRDefault="009C0859" w:rsidP="009C0859">
      <w:pPr>
        <w:jc w:val="center"/>
        <w:rPr>
          <w:rFonts w:cs="Times New Roman"/>
          <w:sz w:val="20"/>
          <w:szCs w:val="20"/>
        </w:rPr>
      </w:pPr>
      <w:r w:rsidRPr="006B5CA1">
        <w:rPr>
          <w:rFonts w:cs="Times New Roman"/>
          <w:sz w:val="20"/>
          <w:szCs w:val="20"/>
        </w:rPr>
        <w:t>Liam Harris</w:t>
      </w:r>
    </w:p>
    <w:p w:rsidR="009C0859" w:rsidRPr="006B5CA1" w:rsidRDefault="009C0859" w:rsidP="009C0859">
      <w:pPr>
        <w:rPr>
          <w:rFonts w:cs="Times New Roman"/>
          <w:sz w:val="20"/>
          <w:szCs w:val="20"/>
        </w:rPr>
      </w:pPr>
    </w:p>
    <w:p w:rsidR="009C0859" w:rsidRDefault="009C0859" w:rsidP="009C0859">
      <w:pPr>
        <w:jc w:val="both"/>
        <w:rPr>
          <w:rFonts w:cs="Times New Roman"/>
          <w:sz w:val="20"/>
          <w:szCs w:val="20"/>
        </w:rPr>
      </w:pPr>
      <w:r>
        <w:rPr>
          <w:rFonts w:cs="Times New Roman"/>
          <w:sz w:val="20"/>
          <w:szCs w:val="20"/>
        </w:rPr>
        <w:t xml:space="preserve">I always begin writing my Chair’s reports by reading my last and I was a little taken aback that it has been almost an entire year since I attempted to capture the experience of my ‘A’ Level Drama and Theatre students as the Covid-19 pandemic unfolded. The year has paradoxically flashed past in the blink of an eye while simultaneously being the most gruelling and taxing I have experienced. </w:t>
      </w:r>
    </w:p>
    <w:p w:rsidR="009C0859" w:rsidRDefault="009C0859" w:rsidP="009C0859">
      <w:pPr>
        <w:jc w:val="both"/>
        <w:rPr>
          <w:rFonts w:cs="Times New Roman"/>
          <w:sz w:val="20"/>
          <w:szCs w:val="20"/>
        </w:rPr>
      </w:pPr>
    </w:p>
    <w:p w:rsidR="009C0859" w:rsidRDefault="009C0859" w:rsidP="009C0859">
      <w:pPr>
        <w:jc w:val="both"/>
        <w:rPr>
          <w:rFonts w:cs="Times New Roman"/>
          <w:sz w:val="20"/>
          <w:szCs w:val="20"/>
        </w:rPr>
      </w:pPr>
      <w:r>
        <w:rPr>
          <w:rFonts w:cs="Times New Roman"/>
          <w:sz w:val="20"/>
          <w:szCs w:val="20"/>
        </w:rPr>
        <w:t>While the students I described in my previous report have moved on to universities, gap years, colleges, drama schools, apprenticeships and employment, the ones still at the school have now experienced a full year of disrupted Covid learning. Add that on to the five months of disruption last year and many students, particularly those in Year 13 (seventeen and eighteen year-olds) and Year 11 (fifteen and sixteen year-olds), may have now completed courses without the full experience of full-time, face-to-face education. This, of course, varies from school to school as Covid bubbles burst and whole year groups are sent home to self-isolate for ten days at a time.</w:t>
      </w:r>
    </w:p>
    <w:p w:rsidR="009C0859" w:rsidRDefault="009C0859" w:rsidP="009C0859">
      <w:pPr>
        <w:jc w:val="both"/>
        <w:rPr>
          <w:rFonts w:cs="Times New Roman"/>
          <w:sz w:val="20"/>
          <w:szCs w:val="20"/>
        </w:rPr>
      </w:pPr>
    </w:p>
    <w:p w:rsidR="009C0859" w:rsidRDefault="009C0859" w:rsidP="009C0859">
      <w:pPr>
        <w:jc w:val="both"/>
        <w:rPr>
          <w:rFonts w:cs="Times New Roman"/>
          <w:sz w:val="20"/>
          <w:szCs w:val="20"/>
        </w:rPr>
      </w:pPr>
      <w:r>
        <w:rPr>
          <w:rFonts w:cs="Times New Roman"/>
          <w:sz w:val="20"/>
          <w:szCs w:val="20"/>
        </w:rPr>
        <w:t xml:space="preserve">For these year groups, grades have been determined by teachers using the full range of evidence available to them. For some schools, this has meant a whole series of mock examinations, set by heads of department (using the materials sent out by exam boards to support the process) and marked by teachers. For others, a more holistic approach has been taken, gathering evidence from books, set tasks, low stakes tests and coursework to support the awarding of grades. This has led to accusations of a lack of consistency between schools in the grades awarded, an increased workload for members of staff, and suggestions of an increased chance of students from certain demographics being left behind. In a year when day-to-day disruptions have fatigued and confused, last minute guidance from the Department of Education has muddied waters, and contending with various stints of online learning has robbed staff and students of the face-to-face contact they need to thrive, it is no wonder that many colleagues are excited to return to the normality of teaching to prepare students for terminal exams. I consider myself a proudly progressive educator, yet even I have wondered whether this was one blow too many for me to take in what has increasingly become a war of attrition on child-centred, humanising classroom practice. </w:t>
      </w:r>
    </w:p>
    <w:p w:rsidR="009C0859" w:rsidRDefault="009C0859" w:rsidP="009C0859">
      <w:pPr>
        <w:jc w:val="both"/>
        <w:rPr>
          <w:rFonts w:cs="Times New Roman"/>
          <w:sz w:val="20"/>
          <w:szCs w:val="20"/>
        </w:rPr>
      </w:pPr>
    </w:p>
    <w:p w:rsidR="009C0859" w:rsidRDefault="009C0859" w:rsidP="009C0859">
      <w:pPr>
        <w:jc w:val="both"/>
        <w:rPr>
          <w:rFonts w:cs="Times New Roman"/>
          <w:sz w:val="20"/>
          <w:szCs w:val="20"/>
        </w:rPr>
      </w:pPr>
      <w:r>
        <w:rPr>
          <w:rFonts w:cs="Times New Roman"/>
          <w:sz w:val="20"/>
          <w:szCs w:val="20"/>
        </w:rPr>
        <w:t xml:space="preserve">But we cannot and must not allow ourselves to return to the old ways simply because it is easier. We must continue to strive for a more child-centred, humanising alternative to the current assessment system: one that truly places student achievement at its heart. The chaos of the current Covid assessment crisis shouldn’t be used to prove that terminal, high stakes testing is the only fair way of assessing what young people know, understand and can do. Instead, it should be used to prove that the current system is not fit for purpose: if it cannot capture the incredible things that students have achieved over the past eighteen months, then it cannot be used to capture the progress young </w:t>
      </w:r>
      <w:r>
        <w:rPr>
          <w:rFonts w:cs="Times New Roman"/>
          <w:sz w:val="20"/>
          <w:szCs w:val="20"/>
        </w:rPr>
        <w:lastRenderedPageBreak/>
        <w:t>people make in their development at all.</w:t>
      </w:r>
    </w:p>
    <w:p w:rsidR="009C0859" w:rsidRDefault="009C0859" w:rsidP="009C0859">
      <w:pPr>
        <w:jc w:val="both"/>
        <w:rPr>
          <w:rFonts w:cs="Times New Roman"/>
          <w:sz w:val="20"/>
          <w:szCs w:val="20"/>
        </w:rPr>
      </w:pPr>
    </w:p>
    <w:p w:rsidR="009C0859" w:rsidRDefault="009C0859" w:rsidP="009C0859">
      <w:pPr>
        <w:jc w:val="both"/>
        <w:rPr>
          <w:rFonts w:cs="Times New Roman"/>
          <w:sz w:val="20"/>
          <w:szCs w:val="20"/>
        </w:rPr>
      </w:pPr>
      <w:r>
        <w:rPr>
          <w:rFonts w:cs="Times New Roman"/>
          <w:sz w:val="20"/>
          <w:szCs w:val="20"/>
        </w:rPr>
        <w:t xml:space="preserve">Since the pandemic began, the National Executive Committee (NEC) of NATD has been holding online events with like-minded educators, coming together to imagine alternative means of assessing the achievement and development of young people. In February 2021 our </w:t>
      </w:r>
      <w:r w:rsidRPr="00C3577B">
        <w:rPr>
          <w:rFonts w:cs="Times New Roman"/>
          <w:i/>
          <w:iCs/>
          <w:sz w:val="20"/>
          <w:szCs w:val="20"/>
        </w:rPr>
        <w:t>Reform or Replace? Assessment To Meet the Needs of Young People</w:t>
      </w:r>
      <w:r>
        <w:rPr>
          <w:rFonts w:cs="Times New Roman"/>
          <w:sz w:val="20"/>
          <w:szCs w:val="20"/>
        </w:rPr>
        <w:t xml:space="preserve"> conference attracted over fifty delegates to listen to speakers outline alternative, child-centred assessment systems. My thanks to Matthew Milburn, Tim Boyes, Maggie Hulson, Dr Debra Kidd, Dr Jane Coles, Sorrel Oates, Mehrunissa Shah, Myfanwy Marshall and Ellen Green for volunteering their time to speak at the event and offer such empowering contributions. </w:t>
      </w:r>
    </w:p>
    <w:p w:rsidR="009C0859" w:rsidRDefault="009C0859" w:rsidP="009C0859">
      <w:pPr>
        <w:jc w:val="both"/>
        <w:rPr>
          <w:rFonts w:cs="Times New Roman"/>
          <w:sz w:val="20"/>
          <w:szCs w:val="20"/>
        </w:rPr>
      </w:pPr>
    </w:p>
    <w:p w:rsidR="009C0859" w:rsidRDefault="009C0859" w:rsidP="009C0859">
      <w:pPr>
        <w:jc w:val="both"/>
        <w:rPr>
          <w:rFonts w:cs="Times New Roman"/>
          <w:sz w:val="20"/>
          <w:szCs w:val="20"/>
        </w:rPr>
      </w:pPr>
      <w:r>
        <w:rPr>
          <w:rFonts w:cs="Times New Roman"/>
          <w:sz w:val="20"/>
          <w:szCs w:val="20"/>
        </w:rPr>
        <w:t>This was succeeded by an assessment round table hosted by NATD at which contributions from Dr Maggie Pitfield, Theo Bryer, Maggie Hulson and Ellen Green stimulated discussion amongst those in attendance to develop NATD’s seven principles of a child-centred, humanising assessment model. You can find the seven principles below:</w:t>
      </w:r>
    </w:p>
    <w:p w:rsidR="009C0859" w:rsidRDefault="009C0859" w:rsidP="009C0859">
      <w:pPr>
        <w:jc w:val="both"/>
        <w:rPr>
          <w:rFonts w:cs="Times New Roman"/>
          <w:sz w:val="20"/>
          <w:szCs w:val="20"/>
        </w:rPr>
      </w:pPr>
    </w:p>
    <w:p w:rsidR="009C0859" w:rsidRPr="000B335D" w:rsidRDefault="009C0859" w:rsidP="009C0859">
      <w:pPr>
        <w:pStyle w:val="ListParagraph"/>
        <w:widowControl/>
        <w:numPr>
          <w:ilvl w:val="0"/>
          <w:numId w:val="2"/>
        </w:numPr>
        <w:suppressAutoHyphens w:val="0"/>
        <w:autoSpaceDE/>
        <w:ind w:right="510"/>
        <w:jc w:val="both"/>
        <w:rPr>
          <w:rFonts w:cs="Times New Roman"/>
          <w:sz w:val="20"/>
          <w:szCs w:val="20"/>
        </w:rPr>
      </w:pPr>
      <w:r w:rsidRPr="000B335D">
        <w:rPr>
          <w:rFonts w:cs="Times New Roman"/>
          <w:sz w:val="20"/>
          <w:szCs w:val="20"/>
        </w:rPr>
        <w:t>Assessment should be driven by the child and the child should own the outcomes</w:t>
      </w:r>
      <w:r>
        <w:rPr>
          <w:rFonts w:cs="Times New Roman"/>
          <w:sz w:val="20"/>
          <w:szCs w:val="20"/>
        </w:rPr>
        <w:t>.</w:t>
      </w:r>
    </w:p>
    <w:p w:rsidR="009C0859" w:rsidRPr="000B335D" w:rsidRDefault="009C0859" w:rsidP="009C0859">
      <w:pPr>
        <w:pStyle w:val="ListParagraph"/>
        <w:widowControl/>
        <w:numPr>
          <w:ilvl w:val="0"/>
          <w:numId w:val="2"/>
        </w:numPr>
        <w:suppressAutoHyphens w:val="0"/>
        <w:autoSpaceDE/>
        <w:ind w:right="510"/>
        <w:jc w:val="both"/>
        <w:rPr>
          <w:rFonts w:cs="Times New Roman"/>
          <w:sz w:val="20"/>
          <w:szCs w:val="20"/>
        </w:rPr>
      </w:pPr>
      <w:r w:rsidRPr="000B335D">
        <w:rPr>
          <w:rFonts w:cs="Times New Roman"/>
          <w:sz w:val="20"/>
          <w:szCs w:val="20"/>
        </w:rPr>
        <w:t>Parents</w:t>
      </w:r>
      <w:r>
        <w:rPr>
          <w:rFonts w:cs="Times New Roman"/>
          <w:sz w:val="20"/>
          <w:szCs w:val="20"/>
        </w:rPr>
        <w:t xml:space="preserve">/guardians </w:t>
      </w:r>
      <w:r w:rsidRPr="000B335D">
        <w:rPr>
          <w:rFonts w:cs="Times New Roman"/>
          <w:sz w:val="20"/>
          <w:szCs w:val="20"/>
        </w:rPr>
        <w:t>should have involvement in the assessment process</w:t>
      </w:r>
      <w:r>
        <w:rPr>
          <w:rFonts w:cs="Times New Roman"/>
          <w:sz w:val="20"/>
          <w:szCs w:val="20"/>
        </w:rPr>
        <w:t>.</w:t>
      </w:r>
    </w:p>
    <w:p w:rsidR="009C0859" w:rsidRPr="000B335D" w:rsidRDefault="009C0859" w:rsidP="009C0859">
      <w:pPr>
        <w:pStyle w:val="ListParagraph"/>
        <w:widowControl/>
        <w:numPr>
          <w:ilvl w:val="0"/>
          <w:numId w:val="2"/>
        </w:numPr>
        <w:suppressAutoHyphens w:val="0"/>
        <w:autoSpaceDE/>
        <w:ind w:right="510"/>
        <w:jc w:val="both"/>
        <w:rPr>
          <w:rFonts w:cs="Times New Roman"/>
          <w:sz w:val="20"/>
          <w:szCs w:val="20"/>
        </w:rPr>
      </w:pPr>
      <w:r w:rsidRPr="000B335D">
        <w:rPr>
          <w:rFonts w:cs="Times New Roman"/>
          <w:sz w:val="20"/>
          <w:szCs w:val="20"/>
        </w:rPr>
        <w:t xml:space="preserve">Assessment </w:t>
      </w:r>
      <w:r>
        <w:rPr>
          <w:rFonts w:cs="Times New Roman"/>
          <w:sz w:val="20"/>
          <w:szCs w:val="20"/>
        </w:rPr>
        <w:t>should be</w:t>
      </w:r>
      <w:r w:rsidRPr="000B335D">
        <w:rPr>
          <w:rFonts w:cs="Times New Roman"/>
          <w:sz w:val="20"/>
          <w:szCs w:val="20"/>
        </w:rPr>
        <w:t xml:space="preserve"> formative, not summative and </w:t>
      </w:r>
      <w:r>
        <w:rPr>
          <w:rFonts w:cs="Times New Roman"/>
          <w:sz w:val="20"/>
          <w:szCs w:val="20"/>
        </w:rPr>
        <w:t>must</w:t>
      </w:r>
      <w:r w:rsidRPr="000B335D">
        <w:rPr>
          <w:rFonts w:cs="Times New Roman"/>
          <w:sz w:val="20"/>
          <w:szCs w:val="20"/>
        </w:rPr>
        <w:t xml:space="preserve"> never</w:t>
      </w:r>
      <w:r>
        <w:rPr>
          <w:rFonts w:cs="Times New Roman"/>
          <w:sz w:val="20"/>
          <w:szCs w:val="20"/>
        </w:rPr>
        <w:t xml:space="preserve"> be</w:t>
      </w:r>
      <w:r w:rsidRPr="000B335D">
        <w:rPr>
          <w:rFonts w:cs="Times New Roman"/>
          <w:sz w:val="20"/>
          <w:szCs w:val="20"/>
        </w:rPr>
        <w:t xml:space="preserve"> reduced to a grade</w:t>
      </w:r>
      <w:r>
        <w:rPr>
          <w:rFonts w:cs="Times New Roman"/>
          <w:sz w:val="20"/>
          <w:szCs w:val="20"/>
        </w:rPr>
        <w:t>.</w:t>
      </w:r>
    </w:p>
    <w:p w:rsidR="009C0859" w:rsidRPr="000B335D" w:rsidRDefault="009C0859" w:rsidP="009C0859">
      <w:pPr>
        <w:pStyle w:val="ListParagraph"/>
        <w:widowControl/>
        <w:numPr>
          <w:ilvl w:val="0"/>
          <w:numId w:val="2"/>
        </w:numPr>
        <w:suppressAutoHyphens w:val="0"/>
        <w:autoSpaceDE/>
        <w:ind w:right="510"/>
        <w:jc w:val="both"/>
        <w:rPr>
          <w:rFonts w:cs="Times New Roman"/>
          <w:sz w:val="20"/>
          <w:szCs w:val="20"/>
        </w:rPr>
      </w:pPr>
      <w:r w:rsidRPr="000B335D">
        <w:rPr>
          <w:rFonts w:cs="Times New Roman"/>
          <w:sz w:val="20"/>
          <w:szCs w:val="20"/>
        </w:rPr>
        <w:t xml:space="preserve">Assessment </w:t>
      </w:r>
      <w:r>
        <w:rPr>
          <w:rFonts w:cs="Times New Roman"/>
          <w:sz w:val="20"/>
          <w:szCs w:val="20"/>
        </w:rPr>
        <w:t>must</w:t>
      </w:r>
      <w:r w:rsidRPr="000B335D">
        <w:rPr>
          <w:rFonts w:cs="Times New Roman"/>
          <w:sz w:val="20"/>
          <w:szCs w:val="20"/>
        </w:rPr>
        <w:t xml:space="preserve"> be on-going and regular, used to inform teaching and guide learning</w:t>
      </w:r>
      <w:r>
        <w:rPr>
          <w:rFonts w:cs="Times New Roman"/>
          <w:sz w:val="20"/>
          <w:szCs w:val="20"/>
        </w:rPr>
        <w:t>.</w:t>
      </w:r>
    </w:p>
    <w:p w:rsidR="009C0859" w:rsidRPr="000B335D" w:rsidRDefault="009C0859" w:rsidP="009C0859">
      <w:pPr>
        <w:pStyle w:val="ListParagraph"/>
        <w:widowControl/>
        <w:numPr>
          <w:ilvl w:val="0"/>
          <w:numId w:val="2"/>
        </w:numPr>
        <w:suppressAutoHyphens w:val="0"/>
        <w:autoSpaceDE/>
        <w:ind w:right="510"/>
        <w:jc w:val="both"/>
        <w:rPr>
          <w:rFonts w:cs="Times New Roman"/>
          <w:sz w:val="20"/>
          <w:szCs w:val="20"/>
        </w:rPr>
      </w:pPr>
      <w:r w:rsidRPr="000B335D">
        <w:rPr>
          <w:rFonts w:cs="Times New Roman"/>
          <w:sz w:val="20"/>
          <w:szCs w:val="20"/>
        </w:rPr>
        <w:t xml:space="preserve">Assessment </w:t>
      </w:r>
      <w:r>
        <w:rPr>
          <w:rFonts w:cs="Times New Roman"/>
          <w:sz w:val="20"/>
          <w:szCs w:val="20"/>
        </w:rPr>
        <w:t>must</w:t>
      </w:r>
      <w:r w:rsidRPr="000B335D">
        <w:rPr>
          <w:rFonts w:cs="Times New Roman"/>
          <w:sz w:val="20"/>
          <w:szCs w:val="20"/>
        </w:rPr>
        <w:t xml:space="preserve"> involve a range of forms of expression, capturing learning in whatever media is appropriate for the subject and the child</w:t>
      </w:r>
      <w:r>
        <w:rPr>
          <w:rFonts w:cs="Times New Roman"/>
          <w:sz w:val="20"/>
          <w:szCs w:val="20"/>
        </w:rPr>
        <w:t>.</w:t>
      </w:r>
    </w:p>
    <w:p w:rsidR="009C0859" w:rsidRPr="000B335D" w:rsidRDefault="009C0859" w:rsidP="009C0859">
      <w:pPr>
        <w:pStyle w:val="ListParagraph"/>
        <w:widowControl/>
        <w:numPr>
          <w:ilvl w:val="0"/>
          <w:numId w:val="2"/>
        </w:numPr>
        <w:suppressAutoHyphens w:val="0"/>
        <w:autoSpaceDE/>
        <w:ind w:right="510"/>
        <w:jc w:val="both"/>
        <w:rPr>
          <w:rFonts w:cs="Times New Roman"/>
          <w:sz w:val="20"/>
          <w:szCs w:val="20"/>
        </w:rPr>
      </w:pPr>
      <w:r w:rsidRPr="000B335D">
        <w:rPr>
          <w:rFonts w:cs="Times New Roman"/>
          <w:sz w:val="20"/>
          <w:szCs w:val="20"/>
        </w:rPr>
        <w:t>Assessment must be evidence based,  should be collected and collated as a part of the learning journey of the child</w:t>
      </w:r>
      <w:r>
        <w:rPr>
          <w:rFonts w:cs="Times New Roman"/>
          <w:sz w:val="20"/>
          <w:szCs w:val="20"/>
        </w:rPr>
        <w:t>.</w:t>
      </w:r>
    </w:p>
    <w:p w:rsidR="009C0859" w:rsidRPr="000B335D" w:rsidRDefault="009C0859" w:rsidP="009C0859">
      <w:pPr>
        <w:pStyle w:val="ListParagraph"/>
        <w:widowControl/>
        <w:numPr>
          <w:ilvl w:val="0"/>
          <w:numId w:val="2"/>
        </w:numPr>
        <w:suppressAutoHyphens w:val="0"/>
        <w:autoSpaceDE/>
        <w:ind w:right="510"/>
        <w:jc w:val="both"/>
        <w:rPr>
          <w:rFonts w:cs="Times New Roman"/>
          <w:sz w:val="20"/>
          <w:szCs w:val="20"/>
        </w:rPr>
      </w:pPr>
      <w:r w:rsidRPr="000B335D">
        <w:rPr>
          <w:rFonts w:cs="Times New Roman"/>
          <w:sz w:val="20"/>
          <w:szCs w:val="20"/>
        </w:rPr>
        <w:t>Graded l</w:t>
      </w:r>
      <w:r>
        <w:rPr>
          <w:rFonts w:cs="Times New Roman"/>
          <w:sz w:val="20"/>
          <w:szCs w:val="20"/>
        </w:rPr>
        <w:t xml:space="preserve">eague tables must be abolished. </w:t>
      </w:r>
      <w:r w:rsidRPr="000B335D">
        <w:rPr>
          <w:rFonts w:cs="Times New Roman"/>
          <w:sz w:val="20"/>
          <w:szCs w:val="20"/>
        </w:rPr>
        <w:t>They do not serve the needs of the child</w:t>
      </w:r>
      <w:r>
        <w:rPr>
          <w:rFonts w:cs="Times New Roman"/>
          <w:sz w:val="20"/>
          <w:szCs w:val="20"/>
        </w:rPr>
        <w:t>.</w:t>
      </w:r>
    </w:p>
    <w:p w:rsidR="009C0859" w:rsidRDefault="009C0859" w:rsidP="009C0859">
      <w:pPr>
        <w:ind w:right="510"/>
        <w:jc w:val="both"/>
        <w:rPr>
          <w:rFonts w:cs="Times New Roman"/>
          <w:sz w:val="20"/>
          <w:szCs w:val="20"/>
        </w:rPr>
      </w:pPr>
    </w:p>
    <w:p w:rsidR="009C0859" w:rsidRDefault="009C0859" w:rsidP="009C0859">
      <w:pPr>
        <w:jc w:val="both"/>
        <w:rPr>
          <w:rFonts w:cs="Times New Roman"/>
          <w:sz w:val="20"/>
          <w:szCs w:val="20"/>
        </w:rPr>
      </w:pPr>
      <w:r>
        <w:rPr>
          <w:rFonts w:cs="Times New Roman"/>
          <w:sz w:val="20"/>
          <w:szCs w:val="20"/>
        </w:rPr>
        <w:t>The outcomes of the assessment round table have been collated and placed onto our website and include some examples of what child-centred assessment could look like within the classroom.</w:t>
      </w:r>
    </w:p>
    <w:p w:rsidR="009C0859" w:rsidRDefault="009C0859" w:rsidP="009C0859">
      <w:pPr>
        <w:jc w:val="both"/>
        <w:rPr>
          <w:rFonts w:cs="Times New Roman"/>
          <w:sz w:val="20"/>
          <w:szCs w:val="20"/>
        </w:rPr>
      </w:pPr>
    </w:p>
    <w:p w:rsidR="009C0859" w:rsidRDefault="009C0859" w:rsidP="009C0859">
      <w:pPr>
        <w:jc w:val="both"/>
        <w:rPr>
          <w:rFonts w:cs="Times New Roman"/>
          <w:sz w:val="20"/>
          <w:szCs w:val="20"/>
        </w:rPr>
      </w:pPr>
      <w:r>
        <w:rPr>
          <w:rFonts w:cs="Times New Roman"/>
          <w:sz w:val="20"/>
          <w:szCs w:val="20"/>
        </w:rPr>
        <w:t>The work undertaken by the Association this year is to culminate in a Conference on assessment held in Birmingham on Saturday 20</w:t>
      </w:r>
      <w:r w:rsidRPr="00866E4A">
        <w:rPr>
          <w:rFonts w:cs="Times New Roman"/>
          <w:sz w:val="20"/>
          <w:szCs w:val="20"/>
          <w:vertAlign w:val="superscript"/>
        </w:rPr>
        <w:t>th</w:t>
      </w:r>
      <w:r>
        <w:rPr>
          <w:rFonts w:cs="Times New Roman"/>
          <w:sz w:val="20"/>
          <w:szCs w:val="20"/>
        </w:rPr>
        <w:t xml:space="preserve"> November. Please save the date to ensure you can join us for a day of keynote speeches and practical workshops around developing a more humanising assessment system that is fit for the 21</w:t>
      </w:r>
      <w:r w:rsidRPr="00F87B92">
        <w:rPr>
          <w:rFonts w:cs="Times New Roman"/>
          <w:sz w:val="20"/>
          <w:szCs w:val="20"/>
          <w:vertAlign w:val="superscript"/>
        </w:rPr>
        <w:t>st</w:t>
      </w:r>
      <w:r>
        <w:rPr>
          <w:rFonts w:cs="Times New Roman"/>
          <w:sz w:val="20"/>
          <w:szCs w:val="20"/>
        </w:rPr>
        <w:t xml:space="preserve"> century. </w:t>
      </w:r>
    </w:p>
    <w:p w:rsidR="009C0859" w:rsidRDefault="009C0859" w:rsidP="009C0859">
      <w:pPr>
        <w:jc w:val="both"/>
        <w:rPr>
          <w:rFonts w:cs="Times New Roman"/>
          <w:sz w:val="20"/>
          <w:szCs w:val="20"/>
        </w:rPr>
      </w:pPr>
    </w:p>
    <w:p w:rsidR="009C0859" w:rsidRDefault="009C0859" w:rsidP="009C0859">
      <w:pPr>
        <w:jc w:val="both"/>
        <w:rPr>
          <w:rFonts w:cs="Times New Roman"/>
          <w:sz w:val="20"/>
          <w:szCs w:val="20"/>
        </w:rPr>
      </w:pPr>
      <w:r>
        <w:rPr>
          <w:rFonts w:cs="Times New Roman"/>
          <w:sz w:val="20"/>
          <w:szCs w:val="20"/>
        </w:rPr>
        <w:t xml:space="preserve">Alongside our work on assessment, the NEC continues to develop its relationship with the Drama and Theatre Education Alliance (DTEA). Represented at meetings by Maggie Hulson and Theo Bryer, NATD continues to champion the voice of Drama Educators within the organisation and influence the development of the DTEA’s policy </w:t>
      </w:r>
      <w:r>
        <w:rPr>
          <w:rFonts w:cs="Times New Roman"/>
          <w:sz w:val="20"/>
          <w:szCs w:val="20"/>
        </w:rPr>
        <w:lastRenderedPageBreak/>
        <w:t xml:space="preserve">and activities. My thanks to both Theo and Maggie for their continued involvement in representing us so passionately. </w:t>
      </w:r>
    </w:p>
    <w:p w:rsidR="009C0859" w:rsidRDefault="009C0859" w:rsidP="009C0859">
      <w:pPr>
        <w:jc w:val="both"/>
        <w:rPr>
          <w:rFonts w:cs="Times New Roman"/>
          <w:sz w:val="20"/>
          <w:szCs w:val="20"/>
        </w:rPr>
      </w:pPr>
    </w:p>
    <w:p w:rsidR="009C0859" w:rsidRDefault="009C0859" w:rsidP="009C0859">
      <w:pPr>
        <w:jc w:val="both"/>
        <w:rPr>
          <w:rFonts w:cs="Times New Roman"/>
          <w:sz w:val="20"/>
          <w:szCs w:val="20"/>
        </w:rPr>
      </w:pPr>
      <w:r>
        <w:rPr>
          <w:rFonts w:cs="Times New Roman"/>
          <w:sz w:val="20"/>
          <w:szCs w:val="20"/>
        </w:rPr>
        <w:t xml:space="preserve">In my role as Chair, I represented the Association on Pearson’s Drama Expert Sign Off Panel for Diversity and Inclusion at which the set texts for the Edexcel GCSE Drama specification were reviewed and revised to develop the representation of the global majority within the course. While we are pleased to be involved in the discussion and the development of a more diverse selection of set texts, the NEC felt unable to commit to being named as an external partner due to wider concerns with the reductionist model of assessment of such qualifications. </w:t>
      </w:r>
    </w:p>
    <w:p w:rsidR="009C0859" w:rsidRDefault="009C0859" w:rsidP="009C0859">
      <w:pPr>
        <w:jc w:val="both"/>
        <w:rPr>
          <w:rFonts w:cs="Times New Roman"/>
          <w:sz w:val="20"/>
          <w:szCs w:val="20"/>
        </w:rPr>
      </w:pPr>
    </w:p>
    <w:p w:rsidR="009C0859" w:rsidRPr="00F7775A" w:rsidRDefault="009C0859" w:rsidP="009C0859">
      <w:pPr>
        <w:jc w:val="both"/>
        <w:rPr>
          <w:rFonts w:cs="Times New Roman"/>
          <w:sz w:val="20"/>
          <w:szCs w:val="20"/>
        </w:rPr>
      </w:pPr>
      <w:r>
        <w:rPr>
          <w:rFonts w:cs="Times New Roman"/>
          <w:sz w:val="20"/>
          <w:szCs w:val="20"/>
        </w:rPr>
        <w:t xml:space="preserve">The Association has also launched its new website. Though we are currently dealing with the odd teething issue, the NEC hopes that members find the new website is more </w:t>
      </w:r>
      <w:r w:rsidRPr="00F7775A">
        <w:rPr>
          <w:rFonts w:cs="Times New Roman"/>
          <w:sz w:val="20"/>
          <w:szCs w:val="20"/>
        </w:rPr>
        <w:t xml:space="preserve">accessible, navigable and brighter than its previous iteration. Please note that the web address has now changed to </w:t>
      </w:r>
      <w:hyperlink r:id="rId8" w:history="1">
        <w:r w:rsidRPr="00F7775A">
          <w:rPr>
            <w:rStyle w:val="Hyperlink"/>
            <w:rFonts w:eastAsia="Arial" w:cs="Times New Roman"/>
            <w:sz w:val="20"/>
            <w:szCs w:val="20"/>
          </w:rPr>
          <w:t>www.natd.co.uk</w:t>
        </w:r>
      </w:hyperlink>
      <w:r w:rsidRPr="00F7775A">
        <w:rPr>
          <w:rFonts w:cs="Times New Roman"/>
          <w:sz w:val="20"/>
          <w:szCs w:val="20"/>
        </w:rPr>
        <w:t>. The NEC’s thanks go</w:t>
      </w:r>
      <w:r>
        <w:rPr>
          <w:rFonts w:cs="Times New Roman"/>
          <w:sz w:val="20"/>
          <w:szCs w:val="20"/>
        </w:rPr>
        <w:t>es</w:t>
      </w:r>
      <w:r w:rsidRPr="00F7775A">
        <w:rPr>
          <w:rFonts w:cs="Times New Roman"/>
          <w:sz w:val="20"/>
          <w:szCs w:val="20"/>
        </w:rPr>
        <w:t xml:space="preserve"> to Mark Richardson, the developer of our old website, who went above and beyond for over ten years in maintaining and providing support for the old site. I encourage members to contact Guy Williams with any issues or concerns with the new website directly </w:t>
      </w:r>
      <w:r>
        <w:rPr>
          <w:rFonts w:cs="Times New Roman"/>
          <w:sz w:val="20"/>
          <w:szCs w:val="20"/>
        </w:rPr>
        <w:t xml:space="preserve">at </w:t>
      </w:r>
      <w:hyperlink r:id="rId9" w:history="1">
        <w:r w:rsidRPr="00F7775A">
          <w:rPr>
            <w:rStyle w:val="Hyperlink"/>
            <w:rFonts w:eastAsia="Arial" w:cs="Times New Roman"/>
            <w:sz w:val="20"/>
            <w:szCs w:val="20"/>
          </w:rPr>
          <w:t>guy.williams@natd.eu</w:t>
        </w:r>
      </w:hyperlink>
      <w:r>
        <w:rPr>
          <w:rStyle w:val="Hyperlink"/>
          <w:rFonts w:eastAsia="Arial" w:cs="Times New Roman"/>
          <w:sz w:val="20"/>
          <w:szCs w:val="20"/>
        </w:rPr>
        <w:t>.</w:t>
      </w:r>
    </w:p>
    <w:p w:rsidR="009C0859" w:rsidRPr="00F7775A" w:rsidRDefault="009C0859" w:rsidP="009C0859">
      <w:pPr>
        <w:jc w:val="both"/>
        <w:rPr>
          <w:rFonts w:cs="Times New Roman"/>
          <w:sz w:val="20"/>
          <w:szCs w:val="20"/>
        </w:rPr>
      </w:pPr>
    </w:p>
    <w:p w:rsidR="009C0859" w:rsidRDefault="009C0859" w:rsidP="009C0859">
      <w:pPr>
        <w:jc w:val="both"/>
        <w:rPr>
          <w:rFonts w:cs="Times New Roman"/>
          <w:sz w:val="20"/>
          <w:szCs w:val="20"/>
        </w:rPr>
      </w:pPr>
      <w:r>
        <w:rPr>
          <w:rFonts w:cs="Times New Roman"/>
          <w:sz w:val="20"/>
          <w:szCs w:val="20"/>
        </w:rPr>
        <w:t>And so, another year has passed – the most draining experienced by educators across the country in recent memory. In my previous report I stated the following:</w:t>
      </w:r>
    </w:p>
    <w:p w:rsidR="009C0859" w:rsidRDefault="009C0859" w:rsidP="009C0859">
      <w:pPr>
        <w:jc w:val="both"/>
        <w:rPr>
          <w:rFonts w:cs="Times New Roman"/>
          <w:sz w:val="20"/>
          <w:szCs w:val="20"/>
        </w:rPr>
      </w:pPr>
    </w:p>
    <w:p w:rsidR="009C0859" w:rsidRDefault="009C0859" w:rsidP="009C0859">
      <w:pPr>
        <w:ind w:left="720" w:right="510"/>
        <w:jc w:val="both"/>
        <w:rPr>
          <w:rFonts w:cs="Times New Roman"/>
          <w:sz w:val="20"/>
          <w:szCs w:val="20"/>
        </w:rPr>
      </w:pPr>
      <w:r>
        <w:rPr>
          <w:rFonts w:cs="Times New Roman"/>
          <w:sz w:val="20"/>
          <w:szCs w:val="20"/>
        </w:rPr>
        <w:t>[…] o</w:t>
      </w:r>
      <w:r w:rsidRPr="006B5CA1">
        <w:rPr>
          <w:rFonts w:cs="Times New Roman"/>
          <w:sz w:val="20"/>
          <w:szCs w:val="20"/>
        </w:rPr>
        <w:t>ver the last 20 years</w:t>
      </w:r>
      <w:r>
        <w:rPr>
          <w:rFonts w:cs="Times New Roman"/>
          <w:sz w:val="20"/>
          <w:szCs w:val="20"/>
        </w:rPr>
        <w:t xml:space="preserve">, </w:t>
      </w:r>
      <w:r w:rsidRPr="006B5CA1">
        <w:rPr>
          <w:rFonts w:cs="Times New Roman"/>
          <w:sz w:val="20"/>
          <w:szCs w:val="20"/>
        </w:rPr>
        <w:t>the education system has been realigned to focus on the needs of the economy, rather than the needs of the child. It is a shame that it has taken a global pandemic to bring this to light but there are glimmers of hope beginning to appear as the realisation dawns amongst school staff, students and parents. And as educat</w:t>
      </w:r>
      <w:r>
        <w:rPr>
          <w:rFonts w:cs="Times New Roman"/>
          <w:sz w:val="20"/>
          <w:szCs w:val="20"/>
        </w:rPr>
        <w:t>ors, we are on the front line,</w:t>
      </w:r>
      <w:r w:rsidRPr="006B5CA1">
        <w:rPr>
          <w:rFonts w:cs="Times New Roman"/>
          <w:sz w:val="20"/>
          <w:szCs w:val="20"/>
        </w:rPr>
        <w:t xml:space="preserve"> making sense of this chaos with the young people we teach – a responsibility that we cannot and will not shirk even without leadership and guidance from our current government</w:t>
      </w:r>
      <w:r>
        <w:rPr>
          <w:rFonts w:cs="Times New Roman"/>
          <w:sz w:val="20"/>
          <w:szCs w:val="20"/>
        </w:rPr>
        <w:t>.</w:t>
      </w:r>
    </w:p>
    <w:p w:rsidR="009C0859" w:rsidRPr="001C04EB" w:rsidRDefault="009C0859" w:rsidP="009C0859">
      <w:pPr>
        <w:ind w:left="720" w:right="510"/>
        <w:jc w:val="right"/>
        <w:rPr>
          <w:rFonts w:cs="Times New Roman"/>
          <w:bCs/>
          <w:sz w:val="20"/>
          <w:szCs w:val="20"/>
        </w:rPr>
      </w:pPr>
      <w:r>
        <w:rPr>
          <w:rFonts w:cs="Times New Roman"/>
          <w:bCs/>
          <w:sz w:val="20"/>
          <w:szCs w:val="20"/>
        </w:rPr>
        <w:t>(</w:t>
      </w:r>
      <w:r w:rsidRPr="001C04EB">
        <w:rPr>
          <w:rFonts w:cs="Times New Roman"/>
          <w:bCs/>
          <w:sz w:val="20"/>
          <w:szCs w:val="20"/>
        </w:rPr>
        <w:t>From Chair’s Report 34.2, August 2020</w:t>
      </w:r>
      <w:r>
        <w:rPr>
          <w:rFonts w:cs="Times New Roman"/>
          <w:bCs/>
          <w:sz w:val="20"/>
          <w:szCs w:val="20"/>
        </w:rPr>
        <w:t>)</w:t>
      </w:r>
    </w:p>
    <w:p w:rsidR="009C0859" w:rsidRDefault="009C0859" w:rsidP="009C0859">
      <w:pPr>
        <w:rPr>
          <w:rFonts w:cs="Times New Roman"/>
          <w:sz w:val="20"/>
          <w:szCs w:val="20"/>
        </w:rPr>
      </w:pPr>
    </w:p>
    <w:p w:rsidR="009C0859" w:rsidRDefault="009C0859" w:rsidP="009C0859">
      <w:pPr>
        <w:jc w:val="both"/>
        <w:rPr>
          <w:rFonts w:cs="Times New Roman"/>
          <w:sz w:val="20"/>
          <w:szCs w:val="20"/>
        </w:rPr>
      </w:pPr>
      <w:r>
        <w:rPr>
          <w:rFonts w:cs="Times New Roman"/>
          <w:sz w:val="20"/>
          <w:szCs w:val="20"/>
        </w:rPr>
        <w:t>While we are tired and desperately trying to find time to switch off over the summer break, I stand by the statement above. The pandemic has been an ‘Emperor’s New Clothes’ moment for our education system and the golden opportunity remains for real, tangible changes in the way in which we guide the development of our young people. NATD and its members are some of the most battle-hardened, progressive educators, standing up for the voice of the child for over forty years. While the last year has been tough, and the urge to return to the relative normality and certainty of terminal exams is tempting, we certainly will not succumb to the effects of this war of attrition. We must continue to call out the Emperor’s nakedness, in all its utter depravity, to strive for a better future for us all. Not only will we call it out but we will also be there presenting more humanising, child-centred alternatives when we do.</w:t>
      </w:r>
    </w:p>
    <w:p w:rsidR="009C0859" w:rsidRDefault="009C0859" w:rsidP="009C0859">
      <w:pPr>
        <w:jc w:val="both"/>
        <w:rPr>
          <w:rFonts w:cs="Times New Roman"/>
          <w:sz w:val="20"/>
          <w:szCs w:val="20"/>
        </w:rPr>
      </w:pPr>
    </w:p>
    <w:p w:rsidR="009C0859" w:rsidRDefault="009C0859" w:rsidP="009C0859">
      <w:pPr>
        <w:jc w:val="both"/>
        <w:rPr>
          <w:rFonts w:cs="Times New Roman"/>
          <w:sz w:val="20"/>
          <w:szCs w:val="20"/>
        </w:rPr>
      </w:pPr>
      <w:r>
        <w:rPr>
          <w:rFonts w:cs="Times New Roman"/>
          <w:sz w:val="20"/>
          <w:szCs w:val="20"/>
        </w:rPr>
        <w:lastRenderedPageBreak/>
        <w:t xml:space="preserve">At the recent </w:t>
      </w:r>
      <w:r w:rsidRPr="00AA459C">
        <w:rPr>
          <w:rFonts w:cs="Times New Roman"/>
          <w:i/>
          <w:iCs/>
          <w:sz w:val="20"/>
          <w:szCs w:val="20"/>
        </w:rPr>
        <w:t xml:space="preserve">Reform or Replace? Assessment To Meet </w:t>
      </w:r>
      <w:r>
        <w:rPr>
          <w:rFonts w:cs="Times New Roman"/>
          <w:i/>
          <w:iCs/>
          <w:sz w:val="20"/>
          <w:szCs w:val="20"/>
        </w:rPr>
        <w:t>t</w:t>
      </w:r>
      <w:r w:rsidRPr="00AA459C">
        <w:rPr>
          <w:rFonts w:cs="Times New Roman"/>
          <w:i/>
          <w:iCs/>
          <w:sz w:val="20"/>
          <w:szCs w:val="20"/>
        </w:rPr>
        <w:t>he Needs of Young People</w:t>
      </w:r>
      <w:r>
        <w:rPr>
          <w:rFonts w:cs="Times New Roman"/>
          <w:sz w:val="20"/>
          <w:szCs w:val="20"/>
        </w:rPr>
        <w:t xml:space="preserve"> online event, Matthew Milburn asked those present to use Dorothy Heathcote’s </w:t>
      </w:r>
      <w:r>
        <w:rPr>
          <w:rFonts w:cs="Times New Roman"/>
          <w:i/>
          <w:iCs/>
          <w:sz w:val="20"/>
          <w:szCs w:val="20"/>
        </w:rPr>
        <w:t xml:space="preserve">Paradigms Regarding Views Of Children </w:t>
      </w:r>
      <w:r>
        <w:rPr>
          <w:rFonts w:cs="Times New Roman"/>
          <w:sz w:val="20"/>
          <w:szCs w:val="20"/>
        </w:rPr>
        <w:t>model to consider how the current examination system views our young people (see below).</w:t>
      </w:r>
    </w:p>
    <w:p w:rsidR="009C0859" w:rsidRDefault="009C0859" w:rsidP="009C0859">
      <w:pPr>
        <w:jc w:val="both"/>
        <w:rPr>
          <w:rFonts w:cs="Times New Roman"/>
          <w:sz w:val="20"/>
          <w:szCs w:val="20"/>
        </w:rPr>
      </w:pPr>
    </w:p>
    <w:p w:rsidR="009C0859" w:rsidRDefault="009C0859" w:rsidP="009C0859">
      <w:pPr>
        <w:jc w:val="center"/>
        <w:rPr>
          <w:rFonts w:cs="Times New Roman"/>
          <w:sz w:val="20"/>
          <w:szCs w:val="20"/>
        </w:rPr>
      </w:pPr>
      <w:r>
        <w:rPr>
          <w:noProof/>
          <w:lang w:eastAsia="en-GB"/>
        </w:rPr>
        <w:drawing>
          <wp:inline distT="0" distB="0" distL="0" distR="0" wp14:anchorId="44145FFA" wp14:editId="5CB2CD24">
            <wp:extent cx="4481512" cy="2520891"/>
            <wp:effectExtent l="0" t="0" r="0" b="0"/>
            <wp:docPr id="5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8"/>
                        </a:ext>
                      </a:extLst>
                    </a:blip>
                    <a:stretch>
                      <a:fillRect/>
                    </a:stretch>
                  </pic:blipFill>
                  <pic:spPr>
                    <a:xfrm>
                      <a:off x="0" y="0"/>
                      <a:ext cx="4486814" cy="2523874"/>
                    </a:xfrm>
                    <a:prstGeom prst="rect">
                      <a:avLst/>
                    </a:prstGeom>
                  </pic:spPr>
                </pic:pic>
              </a:graphicData>
            </a:graphic>
          </wp:inline>
        </w:drawing>
      </w:r>
    </w:p>
    <w:p w:rsidR="009C0859" w:rsidRPr="00AA459C" w:rsidRDefault="009C0859" w:rsidP="009C0859">
      <w:pPr>
        <w:rPr>
          <w:rFonts w:cs="Times New Roman"/>
          <w:sz w:val="20"/>
          <w:szCs w:val="20"/>
        </w:rPr>
      </w:pPr>
    </w:p>
    <w:p w:rsidR="009C0859" w:rsidRDefault="009C0859" w:rsidP="009C0859">
      <w:pPr>
        <w:rPr>
          <w:rFonts w:cs="Times New Roman"/>
          <w:sz w:val="20"/>
          <w:szCs w:val="20"/>
        </w:rPr>
      </w:pPr>
    </w:p>
    <w:p w:rsidR="009C0859" w:rsidRDefault="009C0859" w:rsidP="009C0859">
      <w:pPr>
        <w:jc w:val="both"/>
        <w:rPr>
          <w:rFonts w:cs="Times New Roman"/>
          <w:i/>
          <w:iCs/>
          <w:sz w:val="20"/>
          <w:szCs w:val="20"/>
        </w:rPr>
      </w:pPr>
      <w:r>
        <w:rPr>
          <w:rFonts w:cs="Times New Roman"/>
          <w:sz w:val="20"/>
          <w:szCs w:val="20"/>
        </w:rPr>
        <w:t xml:space="preserve">Those present determined that, largely, the assessment system currently views the child as a combination of </w:t>
      </w:r>
      <w:r w:rsidRPr="00D277FC">
        <w:rPr>
          <w:rFonts w:cs="Times New Roman"/>
          <w:sz w:val="20"/>
          <w:szCs w:val="20"/>
        </w:rPr>
        <w:t>machine (</w:t>
      </w:r>
      <w:r>
        <w:rPr>
          <w:rFonts w:cs="Times New Roman"/>
          <w:sz w:val="20"/>
          <w:szCs w:val="20"/>
        </w:rPr>
        <w:t>‘</w:t>
      </w:r>
      <w:r w:rsidRPr="00D277FC">
        <w:rPr>
          <w:rFonts w:cs="Times New Roman"/>
          <w:iCs/>
          <w:sz w:val="20"/>
          <w:szCs w:val="20"/>
        </w:rPr>
        <w:t>by the end of a two year course, students should be able to prove their worth in a two hour exam</w:t>
      </w:r>
      <w:r>
        <w:rPr>
          <w:rFonts w:cs="Times New Roman"/>
          <w:iCs/>
          <w:sz w:val="20"/>
          <w:szCs w:val="20"/>
        </w:rPr>
        <w:t>’</w:t>
      </w:r>
      <w:r w:rsidRPr="00D277FC">
        <w:rPr>
          <w:rFonts w:cs="Times New Roman"/>
          <w:sz w:val="20"/>
          <w:szCs w:val="20"/>
        </w:rPr>
        <w:t>) and vessel (</w:t>
      </w:r>
      <w:r>
        <w:rPr>
          <w:rFonts w:cs="Times New Roman"/>
          <w:sz w:val="20"/>
          <w:szCs w:val="20"/>
        </w:rPr>
        <w:t>‘</w:t>
      </w:r>
      <w:r w:rsidRPr="00D277FC">
        <w:rPr>
          <w:rFonts w:cs="Times New Roman"/>
          <w:iCs/>
          <w:sz w:val="20"/>
          <w:szCs w:val="20"/>
        </w:rPr>
        <w:t>students should be able to recall the knowledge they have gained from their long term memory</w:t>
      </w:r>
      <w:r>
        <w:rPr>
          <w:rFonts w:cs="Times New Roman"/>
          <w:iCs/>
          <w:sz w:val="20"/>
          <w:szCs w:val="20"/>
        </w:rPr>
        <w:t>’</w:t>
      </w:r>
      <w:r w:rsidRPr="00D277FC">
        <w:rPr>
          <w:rFonts w:cs="Times New Roman"/>
          <w:iCs/>
          <w:sz w:val="20"/>
          <w:szCs w:val="20"/>
        </w:rPr>
        <w:t>).</w:t>
      </w:r>
    </w:p>
    <w:p w:rsidR="009C0859" w:rsidRDefault="009C0859" w:rsidP="009C0859">
      <w:pPr>
        <w:jc w:val="both"/>
        <w:rPr>
          <w:rFonts w:cs="Times New Roman"/>
          <w:i/>
          <w:iCs/>
          <w:sz w:val="20"/>
          <w:szCs w:val="20"/>
        </w:rPr>
      </w:pPr>
    </w:p>
    <w:p w:rsidR="009C0859" w:rsidRDefault="009C0859" w:rsidP="009C0859">
      <w:pPr>
        <w:jc w:val="both"/>
        <w:rPr>
          <w:rFonts w:cs="Times New Roman"/>
          <w:sz w:val="20"/>
          <w:szCs w:val="20"/>
        </w:rPr>
      </w:pPr>
      <w:r>
        <w:rPr>
          <w:rFonts w:cs="Times New Roman"/>
          <w:sz w:val="20"/>
          <w:szCs w:val="20"/>
        </w:rPr>
        <w:t xml:space="preserve">As the effects of attrition have set in throughout this pandemic, I have often found myself checking in with this model, considering how the decisions made as Head of Department represent my view of the young people I teach. Asking children to remain in their socially distanced boxes outlined on the studio floor and limiting their contact with one another felt like a necessary evil at the height of the pandemic. But what view does that present of the child? Writing a recovery curriculum plan that prioritises catching up on Brecht and Stanislavski to get them through their exam, rather than spending time developing their ability to create drama collaboratively: what view does that present of the child? Returning to an assessment system that reduces intellectual curiosity, creative collaboration, personal triumph, perseverance, empathy and resilience to a number on a piece of paper rather than attempting to capture the nuance of each child’s personal development what view might this present of the child? </w:t>
      </w:r>
    </w:p>
    <w:p w:rsidR="009C0859" w:rsidRDefault="009C0859" w:rsidP="009C0859">
      <w:pPr>
        <w:jc w:val="both"/>
        <w:rPr>
          <w:rFonts w:cs="Times New Roman"/>
          <w:sz w:val="20"/>
          <w:szCs w:val="20"/>
        </w:rPr>
      </w:pPr>
    </w:p>
    <w:p w:rsidR="00192CB9" w:rsidRDefault="009C0859" w:rsidP="009C0859">
      <w:pPr>
        <w:jc w:val="both"/>
      </w:pPr>
      <w:r>
        <w:rPr>
          <w:rFonts w:cs="Times New Roman"/>
          <w:sz w:val="20"/>
          <w:szCs w:val="20"/>
        </w:rPr>
        <w:t>It is a question I charge us all to ponder carefully as we enter into the next phase of this pandemic. And the question is an urgent one for the young people living through it.</w:t>
      </w:r>
      <w:bookmarkStart w:id="0" w:name="_GoBack"/>
      <w:bookmarkEnd w:id="0"/>
    </w:p>
    <w:sectPr w:rsidR="00192CB9" w:rsidSect="009C0859">
      <w:pgSz w:w="8391" w:h="11906" w:code="11"/>
      <w:pgMar w:top="680" w:right="680" w:bottom="851" w:left="6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859" w:rsidRDefault="009C0859" w:rsidP="009C0859">
      <w:r>
        <w:separator/>
      </w:r>
    </w:p>
  </w:endnote>
  <w:endnote w:type="continuationSeparator" w:id="0">
    <w:p w:rsidR="009C0859" w:rsidRDefault="009C0859" w:rsidP="009C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859" w:rsidRDefault="009C0859" w:rsidP="009C0859">
      <w:r>
        <w:separator/>
      </w:r>
    </w:p>
  </w:footnote>
  <w:footnote w:type="continuationSeparator" w:id="0">
    <w:p w:rsidR="009C0859" w:rsidRDefault="009C0859" w:rsidP="009C0859">
      <w:r>
        <w:continuationSeparator/>
      </w:r>
    </w:p>
  </w:footnote>
  <w:footnote w:id="1">
    <w:p w:rsidR="009C0859" w:rsidRPr="00CF6E38" w:rsidRDefault="009C0859" w:rsidP="009C0859">
      <w:pPr>
        <w:pStyle w:val="FootnoteText"/>
        <w:rPr>
          <w:rFonts w:ascii="Times New Roman" w:hAnsi="Times New Roman" w:cs="Times New Roman"/>
          <w:sz w:val="18"/>
          <w:szCs w:val="18"/>
        </w:rPr>
      </w:pPr>
      <w:r w:rsidRPr="00CF6E38">
        <w:rPr>
          <w:rStyle w:val="FootnoteReference"/>
          <w:rFonts w:ascii="Times New Roman" w:hAnsi="Times New Roman" w:cs="Times New Roman"/>
          <w:sz w:val="18"/>
          <w:szCs w:val="18"/>
        </w:rPr>
        <w:footnoteRef/>
      </w:r>
      <w:r w:rsidRPr="00CF6E38">
        <w:rPr>
          <w:rFonts w:ascii="Times New Roman" w:hAnsi="Times New Roman" w:cs="Times New Roman"/>
          <w:sz w:val="18"/>
          <w:szCs w:val="18"/>
        </w:rPr>
        <w:t xml:space="preserve"> </w:t>
      </w:r>
      <w:r w:rsidRPr="0063619F">
        <w:rPr>
          <w:rFonts w:ascii="Times New Roman" w:hAnsi="Times New Roman" w:cs="Times New Roman"/>
          <w:i/>
          <w:iCs/>
          <w:sz w:val="18"/>
          <w:szCs w:val="18"/>
        </w:rPr>
        <w:t>The Journal for Drama in Education</w:t>
      </w:r>
      <w:r w:rsidRPr="00CF6E38">
        <w:rPr>
          <w:rFonts w:ascii="Times New Roman" w:hAnsi="Times New Roman" w:cs="Times New Roman"/>
          <w:sz w:val="18"/>
          <w:szCs w:val="18"/>
        </w:rPr>
        <w:t xml:space="preserve"> Vol 19 Issue 1</w:t>
      </w:r>
      <w:r>
        <w:rPr>
          <w:rFonts w:ascii="Times New Roman" w:hAnsi="Times New Roman" w:cs="Times New Roman"/>
          <w:sz w:val="18"/>
          <w:szCs w:val="18"/>
        </w:rPr>
        <w:t xml:space="preserve"> </w:t>
      </w:r>
    </w:p>
  </w:footnote>
  <w:footnote w:id="2">
    <w:p w:rsidR="009C0859" w:rsidRPr="00CF6E38" w:rsidRDefault="009C0859" w:rsidP="009C0859">
      <w:pPr>
        <w:pStyle w:val="FootnoteText"/>
        <w:rPr>
          <w:rFonts w:ascii="Times New Roman" w:hAnsi="Times New Roman" w:cs="Times New Roman"/>
          <w:sz w:val="18"/>
          <w:szCs w:val="18"/>
        </w:rPr>
      </w:pPr>
      <w:r w:rsidRPr="00CF6E38">
        <w:rPr>
          <w:rStyle w:val="FootnoteReference"/>
          <w:rFonts w:ascii="Times New Roman" w:hAnsi="Times New Roman" w:cs="Times New Roman"/>
          <w:sz w:val="18"/>
          <w:szCs w:val="18"/>
        </w:rPr>
        <w:footnoteRef/>
      </w:r>
      <w:r w:rsidRPr="00CF6E38">
        <w:rPr>
          <w:rFonts w:ascii="Times New Roman" w:hAnsi="Times New Roman" w:cs="Times New Roman"/>
          <w:sz w:val="18"/>
          <w:szCs w:val="18"/>
        </w:rPr>
        <w:t xml:space="preserve"> National Association for the Teaching of Drama</w:t>
      </w:r>
    </w:p>
  </w:footnote>
  <w:footnote w:id="3">
    <w:p w:rsidR="009C0859" w:rsidRPr="00CF6E38" w:rsidRDefault="009C0859" w:rsidP="009C0859">
      <w:pPr>
        <w:pStyle w:val="FootnoteText"/>
        <w:rPr>
          <w:rFonts w:ascii="Times New Roman" w:hAnsi="Times New Roman" w:cs="Times New Roman"/>
          <w:sz w:val="18"/>
          <w:szCs w:val="18"/>
        </w:rPr>
      </w:pPr>
      <w:r w:rsidRPr="00CF6E38">
        <w:rPr>
          <w:rStyle w:val="FootnoteReference"/>
          <w:rFonts w:ascii="Times New Roman" w:hAnsi="Times New Roman" w:cs="Times New Roman"/>
          <w:sz w:val="18"/>
          <w:szCs w:val="18"/>
        </w:rPr>
        <w:footnoteRef/>
      </w:r>
      <w:r w:rsidRPr="00CF6E38">
        <w:rPr>
          <w:rFonts w:ascii="Times New Roman" w:hAnsi="Times New Roman" w:cs="Times New Roman"/>
          <w:sz w:val="18"/>
          <w:szCs w:val="18"/>
        </w:rPr>
        <w:t xml:space="preserve"> Signs (and Portents?) Dor</w:t>
      </w:r>
      <w:r>
        <w:rPr>
          <w:rFonts w:ascii="Times New Roman" w:hAnsi="Times New Roman" w:cs="Times New Roman"/>
          <w:sz w:val="18"/>
          <w:szCs w:val="18"/>
        </w:rPr>
        <w:t xml:space="preserve">othy Heathcote </w:t>
      </w:r>
      <w:r w:rsidRPr="0001040F">
        <w:rPr>
          <w:rFonts w:ascii="Times New Roman" w:hAnsi="Times New Roman" w:cs="Times New Roman"/>
          <w:i/>
          <w:sz w:val="18"/>
          <w:szCs w:val="18"/>
        </w:rPr>
        <w:t>SCYPT Journal 9</w:t>
      </w:r>
      <w:r>
        <w:rPr>
          <w:rFonts w:ascii="Times New Roman" w:hAnsi="Times New Roman" w:cs="Times New Roman"/>
          <w:sz w:val="18"/>
          <w:szCs w:val="18"/>
        </w:rPr>
        <w:t xml:space="preserve">, </w:t>
      </w:r>
      <w:r w:rsidRPr="00CF6E38">
        <w:rPr>
          <w:rFonts w:ascii="Times New Roman" w:hAnsi="Times New Roman" w:cs="Times New Roman"/>
          <w:sz w:val="18"/>
          <w:szCs w:val="18"/>
        </w:rPr>
        <w:t>1982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16455"/>
    <w:multiLevelType w:val="hybridMultilevel"/>
    <w:tmpl w:val="D1CCF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9154F4"/>
    <w:multiLevelType w:val="hybridMultilevel"/>
    <w:tmpl w:val="CF822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859"/>
    <w:rsid w:val="003140BB"/>
    <w:rsid w:val="005143A2"/>
    <w:rsid w:val="009C0859"/>
    <w:rsid w:val="00CC0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E8478-7977-40D0-8561-8138947C7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859"/>
    <w:pPr>
      <w:widowControl w:val="0"/>
      <w:suppressAutoHyphens/>
      <w:autoSpaceDE w:val="0"/>
      <w:spacing w:after="0" w:line="240" w:lineRule="auto"/>
    </w:pPr>
    <w:rPr>
      <w:rFonts w:ascii="Times New Roman" w:eastAsia="Times New Roman" w:hAnsi="Times New Roman" w:cs="Calibri"/>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859"/>
    <w:pPr>
      <w:ind w:left="720"/>
      <w:contextualSpacing/>
    </w:pPr>
  </w:style>
  <w:style w:type="paragraph" w:styleId="Title">
    <w:name w:val="Title"/>
    <w:basedOn w:val="Normal"/>
    <w:next w:val="Normal"/>
    <w:link w:val="TitleChar"/>
    <w:uiPriority w:val="10"/>
    <w:qFormat/>
    <w:rsid w:val="009C0859"/>
    <w:pPr>
      <w:widowControl/>
      <w:suppressAutoHyphens w:val="0"/>
      <w:autoSpaceDE/>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9C0859"/>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9C0859"/>
    <w:pPr>
      <w:suppressAutoHyphens w:val="0"/>
      <w:autoSpaceDN w:val="0"/>
    </w:pPr>
    <w:rPr>
      <w:rFonts w:ascii="Arial" w:eastAsia="Arial" w:hAnsi="Arial" w:cs="Arial"/>
      <w:sz w:val="22"/>
      <w:szCs w:val="22"/>
      <w:lang w:val="en-US" w:eastAsia="en-US"/>
    </w:rPr>
  </w:style>
  <w:style w:type="character" w:customStyle="1" w:styleId="BodyTextChar">
    <w:name w:val="Body Text Char"/>
    <w:basedOn w:val="DefaultParagraphFont"/>
    <w:link w:val="BodyText"/>
    <w:uiPriority w:val="1"/>
    <w:rsid w:val="009C0859"/>
    <w:rPr>
      <w:rFonts w:ascii="Arial" w:eastAsia="Arial" w:hAnsi="Arial" w:cs="Arial"/>
      <w:lang w:val="en-US"/>
    </w:rPr>
  </w:style>
  <w:style w:type="character" w:styleId="Hyperlink">
    <w:name w:val="Hyperlink"/>
    <w:uiPriority w:val="99"/>
    <w:qFormat/>
    <w:rsid w:val="009C0859"/>
    <w:rPr>
      <w:color w:val="0000FF"/>
      <w:u w:val="single"/>
    </w:rPr>
  </w:style>
  <w:style w:type="paragraph" w:styleId="FootnoteText">
    <w:name w:val="footnote text"/>
    <w:basedOn w:val="Normal"/>
    <w:link w:val="FootnoteTextChar"/>
    <w:uiPriority w:val="99"/>
    <w:unhideWhenUsed/>
    <w:rsid w:val="009C0859"/>
    <w:pPr>
      <w:widowControl/>
      <w:suppressAutoHyphens w:val="0"/>
      <w:autoSpaceDE/>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9C0859"/>
    <w:rPr>
      <w:sz w:val="20"/>
      <w:szCs w:val="20"/>
    </w:rPr>
  </w:style>
  <w:style w:type="character" w:styleId="FootnoteReference">
    <w:name w:val="footnote reference"/>
    <w:basedOn w:val="DefaultParagraphFont"/>
    <w:unhideWhenUsed/>
    <w:rsid w:val="009C0859"/>
    <w:rPr>
      <w:vertAlign w:val="superscript"/>
    </w:rPr>
  </w:style>
  <w:style w:type="paragraph" w:styleId="NormalWeb">
    <w:name w:val="Normal (Web)"/>
    <w:basedOn w:val="Normal"/>
    <w:uiPriority w:val="99"/>
    <w:unhideWhenUsed/>
    <w:rsid w:val="009C0859"/>
    <w:pPr>
      <w:widowControl/>
      <w:suppressAutoHyphens w:val="0"/>
      <w:autoSpaceDE/>
      <w:spacing w:before="100" w:beforeAutospacing="1" w:after="100" w:afterAutospacing="1"/>
    </w:pPr>
    <w:rPr>
      <w:rFonts w:cs="Times New Roman"/>
      <w:lang w:eastAsia="en-GB"/>
    </w:rPr>
  </w:style>
  <w:style w:type="paragraph" w:styleId="NoSpacing">
    <w:name w:val="No Spacing"/>
    <w:uiPriority w:val="1"/>
    <w:qFormat/>
    <w:rsid w:val="009C0859"/>
    <w:pPr>
      <w:spacing w:after="0" w:line="240" w:lineRule="auto"/>
    </w:pPr>
  </w:style>
  <w:style w:type="paragraph" w:customStyle="1" w:styleId="xydpa88f8d89msonormal">
    <w:name w:val="x_ydpa88f8d89msonormal"/>
    <w:basedOn w:val="Normal"/>
    <w:rsid w:val="009C0859"/>
    <w:pPr>
      <w:widowControl/>
      <w:suppressAutoHyphens w:val="0"/>
      <w:autoSpaceDE/>
      <w:spacing w:before="100" w:beforeAutospacing="1" w:after="100" w:afterAutospacing="1"/>
    </w:pPr>
    <w:rPr>
      <w:rFonts w:cs="Times New Roman"/>
      <w:lang w:eastAsia="en-GB"/>
    </w:rPr>
  </w:style>
  <w:style w:type="paragraph" w:styleId="CommentText">
    <w:name w:val="annotation text"/>
    <w:basedOn w:val="Normal"/>
    <w:link w:val="CommentTextChar"/>
    <w:uiPriority w:val="99"/>
    <w:unhideWhenUsed/>
    <w:rsid w:val="009C0859"/>
    <w:pPr>
      <w:widowControl/>
      <w:suppressAutoHyphens w:val="0"/>
      <w:autoSpaceDE/>
    </w:pPr>
    <w:rPr>
      <w:rFonts w:asciiTheme="minorHAnsi" w:eastAsiaTheme="minorHAnsi" w:hAnsiTheme="minorHAnsi" w:cstheme="minorBidi"/>
      <w:sz w:val="20"/>
      <w:szCs w:val="20"/>
      <w:lang w:val="en-NZ" w:eastAsia="en-US"/>
    </w:rPr>
  </w:style>
  <w:style w:type="character" w:customStyle="1" w:styleId="CommentTextChar">
    <w:name w:val="Comment Text Char"/>
    <w:basedOn w:val="DefaultParagraphFont"/>
    <w:link w:val="CommentText"/>
    <w:uiPriority w:val="99"/>
    <w:rsid w:val="009C0859"/>
    <w:rPr>
      <w:sz w:val="20"/>
      <w:szCs w:val="20"/>
      <w:lang w:val="en-NZ"/>
    </w:rPr>
  </w:style>
  <w:style w:type="character" w:styleId="CommentReference">
    <w:name w:val="annotation reference"/>
    <w:basedOn w:val="DefaultParagraphFont"/>
    <w:uiPriority w:val="99"/>
    <w:semiHidden/>
    <w:unhideWhenUsed/>
    <w:rsid w:val="009C0859"/>
    <w:rPr>
      <w:sz w:val="18"/>
      <w:szCs w:val="18"/>
    </w:rPr>
  </w:style>
  <w:style w:type="paragraph" w:styleId="BalloonText">
    <w:name w:val="Balloon Text"/>
    <w:basedOn w:val="Normal"/>
    <w:link w:val="BalloonTextChar"/>
    <w:uiPriority w:val="99"/>
    <w:semiHidden/>
    <w:unhideWhenUsed/>
    <w:rsid w:val="009C0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859"/>
    <w:rPr>
      <w:rFonts w:ascii="Segoe UI" w:eastAsia="Times New Roman" w:hAnsi="Segoe UI" w:cs="Segoe UI"/>
      <w:sz w:val="18"/>
      <w:szCs w:val="18"/>
      <w:lang w:eastAsia="ar-SA"/>
    </w:rPr>
  </w:style>
  <w:style w:type="paragraph" w:styleId="Revision">
    <w:name w:val="Revision"/>
    <w:hidden/>
    <w:uiPriority w:val="99"/>
    <w:semiHidden/>
    <w:rsid w:val="009C0859"/>
    <w:pPr>
      <w:spacing w:after="0" w:line="240" w:lineRule="auto"/>
    </w:pPr>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d.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28" Type="http://schemas.openxmlformats.org/officeDocument/2006/relationships/image" Target="media/image5.sv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guy.williams@natd.e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3634</Words>
  <Characters>20717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Williams</dc:creator>
  <cp:keywords/>
  <dc:description/>
  <cp:lastModifiedBy>Guy Williams</cp:lastModifiedBy>
  <cp:revision>1</cp:revision>
  <dcterms:created xsi:type="dcterms:W3CDTF">2021-08-18T12:41:00Z</dcterms:created>
  <dcterms:modified xsi:type="dcterms:W3CDTF">2021-08-18T12:45:00Z</dcterms:modified>
</cp:coreProperties>
</file>